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9A" w:rsidRDefault="00545523">
      <w:pPr>
        <w:pStyle w:val="Nomesociet"/>
      </w:pPr>
      <w:r>
        <w:t>FONDAZIONE FEDERICO II</w:t>
      </w:r>
    </w:p>
    <w:p w:rsidR="006D639A" w:rsidRDefault="006D639A">
      <w:pPr>
        <w:pStyle w:val="Corpodeltestocontinuo"/>
      </w:pPr>
    </w:p>
    <w:p w:rsidR="006D639A" w:rsidRDefault="00545523">
      <w:pPr>
        <w:pStyle w:val="Corpodeltestocontinuo"/>
      </w:pPr>
      <w:r>
        <w:rPr>
          <w:rFonts w:eastAsia="Arial Unicode MS" w:cs="Arial Unicode MS"/>
        </w:rPr>
        <w:t>Sede legale: PALERMO –  PIAZZA DEL PARLAMENTO, 1</w:t>
      </w:r>
    </w:p>
    <w:p w:rsidR="006D639A" w:rsidRDefault="00545523">
      <w:pPr>
        <w:pStyle w:val="Corpodeltestocontinuo"/>
      </w:pPr>
      <w:r>
        <w:rPr>
          <w:rFonts w:eastAsia="Arial Unicode MS" w:cs="Arial Unicode MS"/>
        </w:rPr>
        <w:t xml:space="preserve">Iscritta al Registro Imprese di PALERMO  </w:t>
      </w:r>
    </w:p>
    <w:p w:rsidR="006D639A" w:rsidRDefault="00545523">
      <w:pPr>
        <w:pStyle w:val="Corpodeltestocontinuo"/>
      </w:pPr>
      <w:r>
        <w:rPr>
          <w:rFonts w:eastAsia="Arial Unicode MS" w:cs="Arial Unicode MS"/>
        </w:rPr>
        <w:t xml:space="preserve">C.F. e numero iscrizione R.I. 97133160826  </w:t>
      </w:r>
    </w:p>
    <w:p w:rsidR="006D639A" w:rsidRDefault="00545523">
      <w:pPr>
        <w:pStyle w:val="Corpodeltestocontinuo"/>
      </w:pPr>
      <w:r>
        <w:rPr>
          <w:rFonts w:eastAsia="Arial Unicode MS" w:cs="Arial Unicode MS"/>
        </w:rPr>
        <w:t xml:space="preserve">Iscritta al </w:t>
      </w:r>
      <w:proofErr w:type="spellStart"/>
      <w:r>
        <w:rPr>
          <w:rFonts w:eastAsia="Arial Unicode MS" w:cs="Arial Unicode MS"/>
        </w:rPr>
        <w:t>R.E.A.</w:t>
      </w:r>
      <w:proofErr w:type="spellEnd"/>
      <w:r>
        <w:rPr>
          <w:rFonts w:eastAsia="Arial Unicode MS" w:cs="Arial Unicode MS"/>
        </w:rPr>
        <w:t xml:space="preserve"> di PALERMO n. 210231  </w:t>
      </w:r>
    </w:p>
    <w:p w:rsidR="006D639A" w:rsidRDefault="00545523">
      <w:pPr>
        <w:pStyle w:val="Corpodeltestocontinuo"/>
      </w:pPr>
      <w:r>
        <w:rPr>
          <w:rFonts w:eastAsia="Arial Unicode MS" w:cs="Arial Unicode MS"/>
        </w:rPr>
        <w:t xml:space="preserve">Fondo di dotazione  € 389.573 </w:t>
      </w:r>
      <w:proofErr w:type="spellStart"/>
      <w:r>
        <w:rPr>
          <w:rFonts w:eastAsia="Arial Unicode MS" w:cs="Arial Unicode MS"/>
        </w:rPr>
        <w:t>I.V.</w:t>
      </w:r>
      <w:proofErr w:type="spellEnd"/>
      <w:r>
        <w:rPr>
          <w:rFonts w:eastAsia="Arial Unicode MS" w:cs="Arial Unicode MS"/>
        </w:rPr>
        <w:t xml:space="preserve"> </w:t>
      </w:r>
    </w:p>
    <w:p w:rsidR="006D639A" w:rsidRDefault="00545523">
      <w:pPr>
        <w:pStyle w:val="Corpodeltestocontinuo"/>
      </w:pPr>
      <w:r>
        <w:rPr>
          <w:rFonts w:eastAsia="Arial Unicode MS" w:cs="Arial Unicode MS"/>
        </w:rPr>
        <w:t xml:space="preserve">Partita IVA: 04651480826 </w:t>
      </w:r>
    </w:p>
    <w:p w:rsidR="006D639A" w:rsidRDefault="00545523">
      <w:pPr>
        <w:pStyle w:val="Titolo"/>
        <w:jc w:val="left"/>
      </w:pPr>
      <w:r>
        <w:rPr>
          <w:spacing w:val="-30"/>
          <w:sz w:val="32"/>
          <w:szCs w:val="32"/>
        </w:rPr>
        <w:t>Nota Integrativa</w:t>
      </w:r>
      <w:r>
        <w:t xml:space="preserve"> </w:t>
      </w:r>
      <w:r>
        <w:rPr>
          <w:rFonts w:ascii="Arial Unicode MS" w:hAnsi="Arial Unicode MS"/>
        </w:rPr>
        <w:br/>
      </w:r>
      <w:r>
        <w:rPr>
          <w:i/>
          <w:iCs/>
          <w:spacing w:val="-14"/>
          <w:sz w:val="32"/>
          <w:szCs w:val="32"/>
        </w:rPr>
        <w:t>Bilancio al 31/12/2017</w:t>
      </w:r>
    </w:p>
    <w:p w:rsidR="006D639A" w:rsidRDefault="006D639A"/>
    <w:p w:rsidR="006D639A" w:rsidRDefault="006D639A"/>
    <w:p w:rsidR="006D639A" w:rsidRDefault="006D639A"/>
    <w:p w:rsidR="006D639A" w:rsidRDefault="00545523">
      <w:pPr>
        <w:pStyle w:val="Titolo1"/>
      </w:pPr>
      <w:r>
        <w:t>Introduzione alla Nota Integrativa</w:t>
      </w:r>
    </w:p>
    <w:p w:rsidR="006D639A" w:rsidRDefault="00545523">
      <w:r>
        <w:rPr>
          <w:rFonts w:eastAsia="Arial Unicode MS" w:cs="Arial Unicode MS"/>
        </w:rPr>
        <w:t xml:space="preserve">Onorevoli Componenti, </w:t>
      </w:r>
    </w:p>
    <w:p w:rsidR="006D639A" w:rsidRDefault="00545523">
      <w:r>
        <w:rPr>
          <w:rFonts w:eastAsia="Arial Unicode MS" w:cs="Arial Unicode MS"/>
        </w:rPr>
        <w:t>la presente Nota Integrativa costituisce parte integrante del Bilancio al 31/12/2017.</w:t>
      </w:r>
    </w:p>
    <w:p w:rsidR="006D639A" w:rsidRDefault="00545523">
      <w:r>
        <w:rPr>
          <w:rFonts w:eastAsia="Arial Unicode MS" w:cs="Arial Unicode MS"/>
        </w:rPr>
        <w:t>Il Bilancio viene redatto in forma abbreviata e risulta conforme a quanto previsto dagli articoli 2423 e seguenti del Codice Civile, ai principi contabili nazionali; esso rappresenta pertanto con chiarezza ed in modo veritiero e corretto la situazione patrimoniale e finanziaria della Fondazione ed il risultato economico dell’esercizio.</w:t>
      </w:r>
    </w:p>
    <w:p w:rsidR="006D639A" w:rsidRDefault="00545523">
      <w:r>
        <w:rPr>
          <w:rFonts w:eastAsia="Arial Unicode MS" w:cs="Arial Unicode MS"/>
        </w:rPr>
        <w:t xml:space="preserve">Il contenuto dello Stato Patrimoniale e del Conto Economico è quello previsto dagli articoli 2424 e 2425 del Codice Civile. </w:t>
      </w:r>
    </w:p>
    <w:p w:rsidR="006D639A" w:rsidRDefault="00545523">
      <w:r>
        <w:rPr>
          <w:rFonts w:eastAsia="Arial Unicode MS" w:cs="Arial Unicode MS"/>
        </w:rPr>
        <w:t>La Nota Integrativa, redatta ai sensi dell'art. 2427 del Codice Civile, contiene inoltre tutte le informazioni utili a fornire una corretta interpretazione del Bilancio.</w:t>
      </w:r>
    </w:p>
    <w:p w:rsidR="006D639A" w:rsidRDefault="006D639A"/>
    <w:p w:rsidR="006D639A" w:rsidRDefault="00545523">
      <w:pPr>
        <w:pStyle w:val="Titolo1"/>
      </w:pPr>
      <w:r>
        <w:t>Criteri di formazione</w:t>
      </w:r>
    </w:p>
    <w:p w:rsidR="006D639A" w:rsidRDefault="00545523">
      <w:pPr>
        <w:pStyle w:val="Titolo2"/>
      </w:pPr>
      <w:r>
        <w:t>Redazione del Bilancio</w:t>
      </w:r>
    </w:p>
    <w:p w:rsidR="006D639A" w:rsidRDefault="00545523">
      <w:r>
        <w:rPr>
          <w:rFonts w:eastAsia="Arial Unicode MS" w:cs="Arial Unicode MS"/>
        </w:rPr>
        <w:t>In riferimento a quanto indicato nella parte introduttiva della presente Nota Integrativa, si attesta che, ai sensi dell’art. 2423, 3° comma del Codice Civile, qualora le informazioni richieste da specifiche disposizioni di legge non siano sufficienti a dare una rappresentazione veritiera e corretta della situazione aziendale vengono fornite le informazioni complementari ritenute necessarie</w:t>
      </w:r>
      <w:r>
        <w:rPr>
          <w:rFonts w:eastAsia="Arial Unicode MS" w:cs="Arial Unicode MS"/>
          <w:b/>
          <w:bCs/>
        </w:rPr>
        <w:t xml:space="preserve"> </w:t>
      </w:r>
      <w:r>
        <w:rPr>
          <w:rFonts w:eastAsia="Arial Unicode MS" w:cs="Arial Unicode MS"/>
        </w:rPr>
        <w:t>allo scopo.</w:t>
      </w:r>
    </w:p>
    <w:p w:rsidR="006D639A" w:rsidRDefault="00545523">
      <w:r>
        <w:rPr>
          <w:rFonts w:eastAsia="Arial Unicode MS" w:cs="Arial Unicode MS"/>
          <w:spacing w:val="-2"/>
        </w:rPr>
        <w:t xml:space="preserve">Non si sono verificati casi eccezionali che abbiano reso necessario il ricorso a deroghe di cui all'art. 2423, comma 4 e all'art. 2423 </w:t>
      </w:r>
      <w:r>
        <w:rPr>
          <w:rFonts w:ascii="Arial Unicode MS" w:eastAsia="Arial Unicode MS" w:hAnsi="Arial Unicode MS" w:cs="Arial Unicode MS"/>
          <w:spacing w:val="-2"/>
        </w:rPr>
        <w:sym w:font="Arial Unicode MS" w:char="001E"/>
      </w:r>
      <w:r>
        <w:rPr>
          <w:rFonts w:eastAsia="Arial Unicode MS" w:cs="Arial Unicode MS"/>
          <w:spacing w:val="-2"/>
        </w:rPr>
        <w:t xml:space="preserve"> bis comma 2 Codice Civile.</w:t>
      </w:r>
    </w:p>
    <w:p w:rsidR="006D639A" w:rsidRDefault="00545523">
      <w:r>
        <w:rPr>
          <w:rFonts w:eastAsia="Arial Unicode MS" w:cs="Arial Unicode MS"/>
        </w:rPr>
        <w:t xml:space="preserve">Il Bilancio d'esercizio, così come la presente Nota Integrativa, sono stati redatti in unità di Euro secondo quanto disposto dal Codice Civile. </w:t>
      </w:r>
    </w:p>
    <w:p w:rsidR="006D639A" w:rsidRDefault="00545523">
      <w:pPr>
        <w:pStyle w:val="Titolo2"/>
      </w:pPr>
      <w:r>
        <w:lastRenderedPageBreak/>
        <w:t>Principi di redazione del bilancio</w:t>
      </w:r>
    </w:p>
    <w:p w:rsidR="006D639A" w:rsidRDefault="00545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4"/>
        </w:tabs>
      </w:pPr>
      <w:r>
        <w:t xml:space="preserve">La valutazione delle voci di bilancio è avvenuta nel rispetto del principio della prudenza e nella prospettiva di continuazione dell'attività. Conformemente ai principi contabili, nella rappresentazione delle voci dell'attivo e del passivo viene data prevalenza agli aspetti sostanziali rispetto quelli formali. Si è tenuto conto dei rischi e delle perdite di competenza dell’esercizio anche se conosciuti dopo la chiusura di questo. </w:t>
      </w:r>
    </w:p>
    <w:p w:rsidR="006D639A" w:rsidRDefault="00545523">
      <w:r>
        <w:rPr>
          <w:rFonts w:eastAsia="Arial Unicode MS" w:cs="Arial Unicode MS"/>
        </w:rPr>
        <w:t>Nella redazione del Bilancio d'esercizio gli oneri e i proventi sono stati iscritti secondo il principio di competenza indipendentemente dal momento della loro manifestazione numeraria.</w:t>
      </w:r>
    </w:p>
    <w:p w:rsidR="006D639A" w:rsidRDefault="00545523"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4"/>
        </w:tabs>
      </w:pPr>
      <w:r>
        <w:t>Le la classificazione dei costi e dei ricavi nello schema di conto economico previsto dall'art. 2425 Cod. Civ. è avvenuta nel rispetto delle prescrizioni contenute nel principio contabile n. 12 emanato dal Consiglio Nazionale dei Dottori Commercialisti e dei Ragionieri e dall’Organismo Italiano di Contabilità (OIC).</w:t>
      </w:r>
    </w:p>
    <w:p w:rsidR="006D639A" w:rsidRDefault="00545523">
      <w:pPr>
        <w:pStyle w:val="Titolo2"/>
      </w:pPr>
      <w:r>
        <w:t>Struttura e contenuto del Prospetto di bilancio</w:t>
      </w:r>
    </w:p>
    <w:p w:rsidR="006D639A" w:rsidRDefault="00545523">
      <w:r>
        <w:rPr>
          <w:rFonts w:eastAsia="Arial Unicode MS" w:cs="Arial Unicode MS"/>
        </w:rPr>
        <w:t xml:space="preserve">Lo Stato Patrimoniale, il Conto Economico e le informazioni di natura contabile contenute nella presente Nota Integrativa sono conformi alle scritture contabili, da cui sono stati direttamente desunti. </w:t>
      </w:r>
    </w:p>
    <w:p w:rsidR="006D639A" w:rsidRDefault="00545523">
      <w:r>
        <w:rPr>
          <w:rFonts w:eastAsia="Arial Unicode MS" w:cs="Arial Unicode MS"/>
        </w:rPr>
        <w:t xml:space="preserve">Nell’esposizione dello Stato Patrimoniale e del Conto Economico non sono stati effettuati raggruppamenti delle voci precedute da numeri arabi, come invece facoltativamente previsto dall'art. 2423 </w:t>
      </w:r>
      <w:proofErr w:type="spellStart"/>
      <w:r>
        <w:rPr>
          <w:rFonts w:eastAsia="Arial Unicode MS" w:cs="Arial Unicode MS"/>
        </w:rPr>
        <w:t>ter</w:t>
      </w:r>
      <w:proofErr w:type="spellEnd"/>
      <w:r>
        <w:rPr>
          <w:rFonts w:eastAsia="Arial Unicode MS" w:cs="Arial Unicode MS"/>
        </w:rPr>
        <w:t xml:space="preserve"> del Codice Civile.</w:t>
      </w:r>
    </w:p>
    <w:p w:rsidR="006D639A" w:rsidRDefault="00545523">
      <w:r>
        <w:rPr>
          <w:rFonts w:eastAsia="Arial Unicode MS" w:cs="Arial Unicode MS"/>
        </w:rPr>
        <w:t>Ai sensi dell’art. 2424 del Codice Civile si conferma che non esistono elementi dell'attivo o del passivo che ricadano sotto più voci del prospetto di bilancio.</w:t>
      </w:r>
    </w:p>
    <w:p w:rsidR="006D639A" w:rsidRDefault="006D639A">
      <w:pPr>
        <w:rPr>
          <w:color w:val="FF0000"/>
          <w:u w:color="FF0000"/>
        </w:rPr>
      </w:pPr>
    </w:p>
    <w:p w:rsidR="006D639A" w:rsidRDefault="00545523">
      <w:pPr>
        <w:pStyle w:val="Titolo1"/>
      </w:pPr>
      <w:r>
        <w:t>Criteri di valutazione</w:t>
      </w:r>
    </w:p>
    <w:p w:rsidR="006D639A" w:rsidRDefault="00545523">
      <w:r>
        <w:rPr>
          <w:rFonts w:eastAsia="Arial Unicode MS" w:cs="Arial Unicode MS"/>
        </w:rPr>
        <w:t>I criteri applicati nella valutazione delle voci di bilancio e nelle rettifiche di valore sono conformi alle disposizioni del Codice Civile</w:t>
      </w:r>
      <w:r>
        <w:rPr>
          <w:rFonts w:eastAsia="Arial Unicode MS" w:cs="Arial Unicode MS"/>
          <w:b/>
          <w:bCs/>
        </w:rPr>
        <w:t xml:space="preserve">. </w:t>
      </w:r>
      <w:r>
        <w:rPr>
          <w:rFonts w:eastAsia="Arial Unicode MS" w:cs="Arial Unicode MS"/>
        </w:rPr>
        <w:t>Gli stessi inoltre non sono variati rispetto all’esercizio precedente.</w:t>
      </w:r>
    </w:p>
    <w:p w:rsidR="006D639A" w:rsidRDefault="00545523">
      <w:r>
        <w:rPr>
          <w:rFonts w:eastAsia="Arial Unicode MS" w:cs="Arial Unicode MS"/>
        </w:rPr>
        <w:t>Di seguito sono illustrati i più significativi criteri di valutazione adottati, nel rispetto delle disposizioni contenute all’art. 2426 del Codice Civile, con particolare riferimento a quelle voci di bilancio per le quali il legislatore ammette diversi criteri di valutazione e di rettifica o per le quali non sono previsti specifici criteri.</w:t>
      </w:r>
    </w:p>
    <w:p w:rsidR="006D639A" w:rsidRDefault="00545523">
      <w:pPr>
        <w:pStyle w:val="Titolo2"/>
      </w:pPr>
      <w:r>
        <w:t>Immobilizzazioni</w:t>
      </w:r>
    </w:p>
    <w:p w:rsidR="006D639A" w:rsidRDefault="00545523">
      <w:r>
        <w:rPr>
          <w:rFonts w:eastAsia="Arial Unicode MS" w:cs="Arial Unicode MS"/>
        </w:rPr>
        <w:t>Nel corso dell’anno 2017 in considerazione dell’aggiornamento del software si è provveduto a riverificare il registro dei beni ammortizzabili ed in particolare si è proceduto ad eliminare i cespiti relativi alle poste immateriali e materiali completamente ammortizzati o non più utilizzati.</w:t>
      </w:r>
    </w:p>
    <w:p w:rsidR="006D639A" w:rsidRDefault="00545523">
      <w:r>
        <w:rPr>
          <w:rFonts w:eastAsia="Arial Unicode MS" w:cs="Arial Unicode MS"/>
        </w:rPr>
        <w:t>Inoltre, si è provveduto a rideterminare il valore storico dei cespiti con le relative valorizzazione dei fondi di ammortamento.</w:t>
      </w:r>
    </w:p>
    <w:p w:rsidR="006D639A" w:rsidRDefault="00545523">
      <w:r>
        <w:rPr>
          <w:rFonts w:eastAsia="Arial Unicode MS" w:cs="Arial Unicode MS"/>
        </w:rPr>
        <w:t xml:space="preserve">Le differenze di quanto rilevato sono state imputate ad altri ricavi e proventi imponibili ed a sopravvenienze passive imponibili.  </w:t>
      </w:r>
    </w:p>
    <w:p w:rsidR="006D639A" w:rsidRDefault="00545523">
      <w:pPr>
        <w:pStyle w:val="Titolo2"/>
      </w:pPr>
      <w:r>
        <w:t xml:space="preserve">Immobilizzazioni  Immateriali </w:t>
      </w:r>
    </w:p>
    <w:p w:rsidR="006D639A" w:rsidRDefault="00545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4"/>
        </w:tabs>
      </w:pPr>
      <w:bookmarkStart w:id="0" w:name="TXT_00018_00001_001"/>
      <w:r>
        <w:t>Le immobilizzazioni immateriali sono iscritte nell’attivo di Stato Patrimoniale al costo di acquisto.</w:t>
      </w:r>
    </w:p>
    <w:p w:rsidR="006D639A" w:rsidRDefault="00545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4"/>
        </w:tabs>
      </w:pPr>
      <w:r>
        <w:t>Il valore delle immobilizzazioni è esposto al netto dei fondi di ammortamento e di svalutazione.</w:t>
      </w:r>
    </w:p>
    <w:bookmarkEnd w:id="0"/>
    <w:p w:rsidR="006D639A" w:rsidRDefault="00545523">
      <w:pPr>
        <w:pStyle w:val="Titolo2"/>
      </w:pPr>
      <w:r>
        <w:t>Immobilizzazioni Materiali</w:t>
      </w:r>
    </w:p>
    <w:p w:rsidR="006D639A" w:rsidRDefault="00545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4"/>
        </w:tabs>
      </w:pPr>
      <w:r>
        <w:t>Le immobilizzazioni materiali sono iscritte nell’attivo di Stato Patrimoniale al costo di acquisto comprensivo degli  oneri accessori, e vengono ammortizzate in quote costanti in funzione della loro utilità futura.</w:t>
      </w:r>
    </w:p>
    <w:p w:rsidR="006D639A" w:rsidRDefault="00545523">
      <w:r>
        <w:rPr>
          <w:rFonts w:eastAsia="Arial Unicode MS" w:cs="Arial Unicode MS"/>
        </w:rPr>
        <w:t>Il valore delle immobilizzazioni materiali  è esposto al netto dei fondi di ammortamento e di svalutazione.</w:t>
      </w:r>
    </w:p>
    <w:p w:rsidR="006D639A" w:rsidRDefault="00545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4"/>
        </w:tabs>
      </w:pPr>
      <w:r>
        <w:t>L'ammortamento è stato operato in conformità al seguente piano prestabilito, che si ritiene assicuri una corretta ripartizione del costo sostenuto lungo la vita utile del cespite in oggetto:</w:t>
      </w:r>
    </w:p>
    <w:p w:rsidR="006D639A" w:rsidRDefault="006D6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4"/>
        </w:tabs>
      </w:pPr>
    </w:p>
    <w:tbl>
      <w:tblPr>
        <w:tblStyle w:val="TableNormal"/>
        <w:tblW w:w="6306" w:type="dxa"/>
        <w:tblInd w:w="2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458"/>
        <w:gridCol w:w="1848"/>
      </w:tblGrid>
      <w:tr w:rsidR="006D639A">
        <w:trPr>
          <w:trHeight w:val="227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4"/>
              </w:tabs>
            </w:pPr>
            <w:r>
              <w:rPr>
                <w:b/>
                <w:bCs/>
              </w:rPr>
              <w:t>Voci immobilizzazioni materiali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4"/>
              </w:tabs>
            </w:pPr>
            <w:r>
              <w:rPr>
                <w:b/>
                <w:bCs/>
              </w:rPr>
              <w:t>Percentuale</w:t>
            </w:r>
          </w:p>
        </w:tc>
      </w:tr>
      <w:tr w:rsidR="006D639A">
        <w:trPr>
          <w:trHeight w:val="227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4"/>
              </w:tabs>
            </w:pPr>
            <w:r>
              <w:t xml:space="preserve">Fabbricati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4"/>
              </w:tabs>
              <w:jc w:val="right"/>
            </w:pPr>
            <w:r>
              <w:t>3,00 %</w:t>
            </w:r>
          </w:p>
        </w:tc>
      </w:tr>
      <w:tr w:rsidR="006D639A">
        <w:trPr>
          <w:trHeight w:val="227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4"/>
              </w:tabs>
            </w:pPr>
            <w:r>
              <w:t xml:space="preserve">Macchinari, apparecchiature e </w:t>
            </w:r>
            <w:proofErr w:type="spellStart"/>
            <w:r>
              <w:t>attrezz</w:t>
            </w:r>
            <w:proofErr w:type="spellEnd"/>
            <w:r>
              <w:t xml:space="preserve">. Varie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jc w:val="right"/>
            </w:pPr>
            <w:r>
              <w:t xml:space="preserve"> 15 %</w:t>
            </w:r>
          </w:p>
        </w:tc>
      </w:tr>
      <w:tr w:rsidR="006D639A">
        <w:trPr>
          <w:trHeight w:val="227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4"/>
              </w:tabs>
            </w:pPr>
            <w:r>
              <w:t xml:space="preserve">Impianti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4"/>
              </w:tabs>
              <w:jc w:val="right"/>
            </w:pPr>
            <w:r>
              <w:t xml:space="preserve">15% </w:t>
            </w:r>
          </w:p>
        </w:tc>
      </w:tr>
      <w:tr w:rsidR="006D639A">
        <w:trPr>
          <w:trHeight w:val="227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4"/>
              </w:tabs>
            </w:pPr>
            <w:r>
              <w:t>Macchine elettroniche d’ufficio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4"/>
              </w:tabs>
              <w:jc w:val="right"/>
            </w:pPr>
            <w:r>
              <w:t>20 %</w:t>
            </w:r>
          </w:p>
        </w:tc>
      </w:tr>
      <w:tr w:rsidR="006D639A">
        <w:trPr>
          <w:trHeight w:val="227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4"/>
              </w:tabs>
            </w:pPr>
            <w:r>
              <w:t>Mobili e macchine ordinarie d’ufficio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4"/>
              </w:tabs>
              <w:jc w:val="right"/>
            </w:pPr>
            <w:r>
              <w:t>12 %</w:t>
            </w:r>
          </w:p>
        </w:tc>
      </w:tr>
    </w:tbl>
    <w:p w:rsidR="006D639A" w:rsidRDefault="006D63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4"/>
        </w:tabs>
        <w:spacing w:line="240" w:lineRule="auto"/>
        <w:ind w:left="148" w:hanging="148"/>
      </w:pPr>
    </w:p>
    <w:p w:rsidR="006D639A" w:rsidRDefault="00545523">
      <w:pPr>
        <w:pStyle w:val="Titolo2"/>
      </w:pPr>
      <w:r>
        <w:t xml:space="preserve">Immobilizzazioni Finanziarie </w:t>
      </w:r>
    </w:p>
    <w:p w:rsidR="006D639A" w:rsidRDefault="00545523">
      <w:pPr>
        <w:widowControl w:val="0"/>
        <w:tabs>
          <w:tab w:val="left" w:pos="7230"/>
          <w:tab w:val="left" w:pos="8222"/>
        </w:tabs>
        <w:ind w:right="31"/>
      </w:pPr>
      <w:r>
        <w:t xml:space="preserve">Le immobilizzazioni finanziarie sono iscritte nell’attivo di Stato Patrimoniale, e valutate al loro valore nominale. </w:t>
      </w:r>
    </w:p>
    <w:p w:rsidR="006D639A" w:rsidRDefault="00545523">
      <w:pPr>
        <w:pStyle w:val="Titolo2"/>
      </w:pPr>
      <w:r>
        <w:t xml:space="preserve">Rimanenze  </w:t>
      </w:r>
    </w:p>
    <w:p w:rsidR="006D639A" w:rsidRDefault="00545523">
      <w:pPr>
        <w:widowControl w:val="0"/>
        <w:tabs>
          <w:tab w:val="left" w:pos="7230"/>
          <w:tab w:val="left" w:pos="8222"/>
        </w:tabs>
        <w:ind w:right="31"/>
      </w:pPr>
      <w:r>
        <w:t xml:space="preserve">Le rimanenze finali relative a materie prime, sussidiarie e di consumo e ai progetti in corso di esecuzione sono state valutate al costo di acquisto o di produzione. </w:t>
      </w:r>
    </w:p>
    <w:p w:rsidR="00D15B17" w:rsidRDefault="00D15B17">
      <w:pPr>
        <w:widowControl w:val="0"/>
        <w:tabs>
          <w:tab w:val="left" w:pos="7230"/>
          <w:tab w:val="left" w:pos="8222"/>
        </w:tabs>
        <w:ind w:right="31"/>
      </w:pPr>
      <w:r>
        <w:t xml:space="preserve">Rispetto al valore riportato nell'esercizio precedente si rileva la diminuzione delle stesse per euro 513.377,71 per una migliore imputazione dei crediti relativi ai progetti </w:t>
      </w:r>
      <w:proofErr w:type="spellStart"/>
      <w:r>
        <w:t>Echilibru</w:t>
      </w:r>
      <w:proofErr w:type="spellEnd"/>
      <w:r>
        <w:t xml:space="preserve"> ed SOS.</w:t>
      </w:r>
    </w:p>
    <w:p w:rsidR="006D639A" w:rsidRDefault="00545523">
      <w:pPr>
        <w:pStyle w:val="Titolo2"/>
      </w:pPr>
      <w:bookmarkStart w:id="1" w:name="TIT_003_005"/>
      <w:r>
        <w:t>Crediti</w:t>
      </w:r>
      <w:bookmarkEnd w:id="1"/>
    </w:p>
    <w:p w:rsidR="006D639A" w:rsidRDefault="00545523">
      <w:pPr>
        <w:widowControl w:val="0"/>
        <w:tabs>
          <w:tab w:val="left" w:pos="7230"/>
          <w:tab w:val="left" w:pos="8222"/>
        </w:tabs>
        <w:ind w:right="31"/>
      </w:pPr>
      <w:r>
        <w:t xml:space="preserve">I crediti, tutti esigibili entro l’esercizio successivo, sono iscritti secondo il valore presumibile di realizzazione, al netto del relativo Fondo di svalutazione. </w:t>
      </w:r>
    </w:p>
    <w:p w:rsidR="00D15B17" w:rsidRDefault="00D15B17" w:rsidP="00D15B17">
      <w:pPr>
        <w:widowControl w:val="0"/>
        <w:tabs>
          <w:tab w:val="left" w:pos="7230"/>
          <w:tab w:val="left" w:pos="8222"/>
        </w:tabs>
        <w:ind w:right="31"/>
      </w:pPr>
      <w:r>
        <w:t xml:space="preserve">Rispetto al valore riportato nell'esercizio precedente si rileva l'aumento degli stessi per euro 513.377,71 per una migliore imputazione dei crediti relativi ai progetti </w:t>
      </w:r>
      <w:proofErr w:type="spellStart"/>
      <w:r>
        <w:t>Echilibru</w:t>
      </w:r>
      <w:proofErr w:type="spellEnd"/>
      <w:r>
        <w:t xml:space="preserve"> ed SOS.</w:t>
      </w:r>
    </w:p>
    <w:p w:rsidR="006D639A" w:rsidRDefault="00545523">
      <w:pPr>
        <w:pStyle w:val="Titolo2"/>
      </w:pPr>
      <w:r>
        <w:t xml:space="preserve">Disponibilità Liquide </w:t>
      </w:r>
    </w:p>
    <w:p w:rsidR="006D639A" w:rsidRDefault="00545523">
      <w:pPr>
        <w:widowControl w:val="0"/>
        <w:ind w:right="7"/>
      </w:pPr>
      <w:r>
        <w:t>Le disponibilità liquide sono iscritte al loro effettivo importo.</w:t>
      </w:r>
    </w:p>
    <w:p w:rsidR="006D639A" w:rsidRDefault="00545523">
      <w:pPr>
        <w:pStyle w:val="Titolo2"/>
      </w:pPr>
      <w:r>
        <w:t xml:space="preserve">Ratei e risconti </w:t>
      </w:r>
    </w:p>
    <w:p w:rsidR="006D639A" w:rsidRDefault="00545523">
      <w:pPr>
        <w:widowControl w:val="0"/>
        <w:tabs>
          <w:tab w:val="left" w:pos="7230"/>
          <w:tab w:val="left" w:pos="8222"/>
        </w:tabs>
        <w:ind w:right="7"/>
      </w:pPr>
      <w:r>
        <w:t>I ratei e risconti sono determinati in funzione del principio della competenza temporale.</w:t>
      </w:r>
    </w:p>
    <w:p w:rsidR="006D639A" w:rsidRDefault="00545523">
      <w:pPr>
        <w:pStyle w:val="Titolo2"/>
      </w:pPr>
      <w:r>
        <w:t xml:space="preserve">Fondo Rischi e Oneri  </w:t>
      </w:r>
    </w:p>
    <w:p w:rsidR="006D639A" w:rsidRDefault="00545523">
      <w:pPr>
        <w:widowControl w:val="0"/>
        <w:tabs>
          <w:tab w:val="left" w:pos="7230"/>
          <w:tab w:val="left" w:pos="8222"/>
        </w:tabs>
        <w:ind w:right="7"/>
      </w:pPr>
      <w:r>
        <w:t>Il Fondo per rischi ed oneri raccoglie l’accantonamento prudenziale riferito alle vertenze in corso con un dipendente della Fondazione.</w:t>
      </w:r>
    </w:p>
    <w:p w:rsidR="006D639A" w:rsidRDefault="00545523">
      <w:pPr>
        <w:pStyle w:val="Titolo2"/>
      </w:pPr>
      <w:r>
        <w:t xml:space="preserve">Fondo Trattamento di Fine Rapporto  </w:t>
      </w:r>
    </w:p>
    <w:p w:rsidR="006D639A" w:rsidRDefault="00545523">
      <w:pPr>
        <w:widowControl w:val="0"/>
        <w:tabs>
          <w:tab w:val="left" w:pos="7230"/>
          <w:tab w:val="left" w:pos="8222"/>
        </w:tabs>
        <w:ind w:right="7"/>
      </w:pPr>
      <w:r>
        <w:t xml:space="preserve">Il Fondo </w:t>
      </w:r>
      <w:proofErr w:type="spellStart"/>
      <w:r>
        <w:t>T.F.R.</w:t>
      </w:r>
      <w:proofErr w:type="spellEnd"/>
      <w:r>
        <w:t xml:space="preserve"> è l’ammontare del debito maturato verso i lavoratori dipendenti, calcolato in conformità da quanto previsto dalla normativa in vigore e dai C.C.N.L. </w:t>
      </w:r>
    </w:p>
    <w:p w:rsidR="006D639A" w:rsidRDefault="00545523">
      <w:pPr>
        <w:pStyle w:val="Titolo2"/>
      </w:pPr>
      <w:bookmarkStart w:id="2" w:name="TIT_002_010"/>
      <w:r>
        <w:lastRenderedPageBreak/>
        <w:t>Debiti</w:t>
      </w:r>
      <w:bookmarkEnd w:id="2"/>
    </w:p>
    <w:p w:rsidR="006D639A" w:rsidRDefault="00545523">
      <w:pPr>
        <w:widowControl w:val="0"/>
        <w:tabs>
          <w:tab w:val="left" w:pos="7230"/>
          <w:tab w:val="left" w:pos="8222"/>
        </w:tabs>
        <w:ind w:right="7"/>
      </w:pPr>
      <w:r>
        <w:t xml:space="preserve">I debiti sono iscritti al valore nominale. </w:t>
      </w:r>
    </w:p>
    <w:p w:rsidR="006D639A" w:rsidRDefault="006D639A">
      <w:pPr>
        <w:widowControl w:val="0"/>
        <w:tabs>
          <w:tab w:val="left" w:pos="7230"/>
          <w:tab w:val="left" w:pos="8222"/>
        </w:tabs>
        <w:ind w:right="7"/>
      </w:pPr>
    </w:p>
    <w:p w:rsidR="006D639A" w:rsidRDefault="00545523">
      <w:pPr>
        <w:pStyle w:val="Titolo2"/>
      </w:pPr>
      <w:r>
        <w:t xml:space="preserve">Costi e ricavi  </w:t>
      </w:r>
    </w:p>
    <w:p w:rsidR="006D639A" w:rsidRDefault="00545523">
      <w:r>
        <w:rPr>
          <w:rFonts w:eastAsia="Arial Unicode MS" w:cs="Arial Unicode MS"/>
        </w:rPr>
        <w:t xml:space="preserve">I costi e i ricavi  sono stati valutati secondo il principio di competenza economica indipendentemente dalla data di incasso e pagamento al netto dei resi, degli sconti e degli abbuoni.  </w:t>
      </w:r>
    </w:p>
    <w:p w:rsidR="006D639A" w:rsidRDefault="006D639A"/>
    <w:p w:rsidR="006D639A" w:rsidRDefault="00545523">
      <w:pPr>
        <w:pStyle w:val="Titolo1"/>
      </w:pPr>
      <w:r>
        <w:t>Variazione consistenza altre voci dell'attivo e del passivo</w:t>
      </w:r>
    </w:p>
    <w:p w:rsidR="006D639A" w:rsidRDefault="00545523">
      <w:r>
        <w:rPr>
          <w:rFonts w:eastAsia="Arial Unicode MS" w:cs="Arial Unicode MS"/>
        </w:rPr>
        <w:t>Con riferimento all’esercizio in esame, e in ossequio a quanto disposto dall’art. 2427, comma 1, n. 4 del Codice Civile, nei seguenti prospetti vengono illustrati per ciascuna voce dell'attivo e del passivo la consistenza iniziale, i movimenti dell'esercizio e la correlata consistenza finale.</w:t>
      </w:r>
    </w:p>
    <w:p w:rsidR="006D639A" w:rsidRDefault="00545523">
      <w:pPr>
        <w:rPr>
          <w:b/>
          <w:bCs/>
        </w:rPr>
      </w:pPr>
      <w:r>
        <w:rPr>
          <w:rFonts w:eastAsia="Arial Unicode MS" w:cs="Arial Unicode MS"/>
          <w:b/>
          <w:bCs/>
        </w:rPr>
        <w:t xml:space="preserve">Attivo </w:t>
      </w:r>
    </w:p>
    <w:tbl>
      <w:tblPr>
        <w:tblStyle w:val="TableNormal"/>
        <w:tblW w:w="84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2476"/>
        <w:gridCol w:w="2188"/>
        <w:gridCol w:w="1776"/>
        <w:gridCol w:w="1994"/>
      </w:tblGrid>
      <w:tr w:rsidR="006D639A">
        <w:trPr>
          <w:trHeight w:val="197"/>
          <w:tblHeader/>
        </w:trPr>
        <w:tc>
          <w:tcPr>
            <w:tcW w:w="247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rPr>
                <w:b/>
                <w:bCs/>
              </w:rPr>
              <w:t>Dettaglio</w:t>
            </w:r>
          </w:p>
        </w:tc>
        <w:tc>
          <w:tcPr>
            <w:tcW w:w="218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proofErr w:type="spellStart"/>
            <w:r>
              <w:rPr>
                <w:b/>
                <w:bCs/>
              </w:rPr>
              <w:t>Consist</w:t>
            </w:r>
            <w:proofErr w:type="spellEnd"/>
            <w:r>
              <w:rPr>
                <w:b/>
                <w:bCs/>
              </w:rPr>
              <w:t>. iniziale</w:t>
            </w:r>
          </w:p>
        </w:tc>
        <w:tc>
          <w:tcPr>
            <w:tcW w:w="177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rPr>
                <w:b/>
                <w:bCs/>
              </w:rPr>
              <w:t>Variazione</w:t>
            </w:r>
          </w:p>
        </w:tc>
        <w:tc>
          <w:tcPr>
            <w:tcW w:w="199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proofErr w:type="spellStart"/>
            <w:r>
              <w:rPr>
                <w:b/>
                <w:bCs/>
              </w:rPr>
              <w:t>Consist</w:t>
            </w:r>
            <w:proofErr w:type="spellEnd"/>
            <w:r>
              <w:rPr>
                <w:b/>
                <w:bCs/>
              </w:rPr>
              <w:t>. finale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24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>Immobilizzazioni immateriali</w:t>
            </w:r>
          </w:p>
        </w:tc>
        <w:tc>
          <w:tcPr>
            <w:tcW w:w="21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830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2.728</w:t>
            </w:r>
          </w:p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3.558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24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>Immobilizzazioni materiali</w:t>
            </w:r>
          </w:p>
        </w:tc>
        <w:tc>
          <w:tcPr>
            <w:tcW w:w="21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1.270.803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-16.249</w:t>
            </w:r>
          </w:p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1.254.554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24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Pr="00AB7569" w:rsidRDefault="00545523">
            <w:pPr>
              <w:pStyle w:val="Tabella"/>
              <w:jc w:val="left"/>
            </w:pPr>
            <w:r w:rsidRPr="00AB7569">
              <w:t>Rimanenze</w:t>
            </w:r>
          </w:p>
        </w:tc>
        <w:tc>
          <w:tcPr>
            <w:tcW w:w="21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Pr="00AB7569" w:rsidRDefault="00545523">
            <w:pPr>
              <w:pStyle w:val="Tabella"/>
              <w:jc w:val="right"/>
            </w:pPr>
            <w:r w:rsidRPr="00AB7569">
              <w:t>526.767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Pr="00AB7569" w:rsidRDefault="00545523">
            <w:pPr>
              <w:jc w:val="right"/>
            </w:pPr>
            <w:r w:rsidRPr="00AB7569">
              <w:rPr>
                <w:rFonts w:ascii="Arial" w:hAnsi="Arial"/>
                <w:sz w:val="16"/>
                <w:szCs w:val="16"/>
              </w:rPr>
              <w:t>-494.865</w:t>
            </w:r>
          </w:p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 w:rsidRPr="00AB7569">
              <w:t>31.902</w:t>
            </w:r>
          </w:p>
        </w:tc>
      </w:tr>
      <w:tr w:rsidR="006D639A">
        <w:tblPrEx>
          <w:shd w:val="clear" w:color="auto" w:fill="CED7E7"/>
        </w:tblPrEx>
        <w:trPr>
          <w:trHeight w:val="187"/>
        </w:trPr>
        <w:tc>
          <w:tcPr>
            <w:tcW w:w="247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 xml:space="preserve">Crediti </w:t>
            </w:r>
          </w:p>
        </w:tc>
        <w:tc>
          <w:tcPr>
            <w:tcW w:w="218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254.039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345.647</w:t>
            </w:r>
          </w:p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599.686</w:t>
            </w:r>
          </w:p>
        </w:tc>
      </w:tr>
      <w:tr w:rsidR="006D639A">
        <w:tblPrEx>
          <w:shd w:val="clear" w:color="auto" w:fill="CED7E7"/>
        </w:tblPrEx>
        <w:trPr>
          <w:trHeight w:val="185"/>
        </w:trPr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AB7569" w:rsidP="00AB7569">
            <w:pPr>
              <w:pStyle w:val="Tabella"/>
              <w:jc w:val="left"/>
            </w:pPr>
            <w:r>
              <w:t>Disponibilità</w:t>
            </w:r>
            <w:r w:rsidR="00545523">
              <w:rPr>
                <w:lang w:val="fr-FR"/>
              </w:rPr>
              <w:t xml:space="preserve"> Liquide 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133.711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219.274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352.985</w:t>
            </w:r>
          </w:p>
        </w:tc>
      </w:tr>
      <w:tr w:rsidR="006D639A">
        <w:tblPrEx>
          <w:shd w:val="clear" w:color="auto" w:fill="CED7E7"/>
        </w:tblPrEx>
        <w:trPr>
          <w:trHeight w:val="195"/>
        </w:trPr>
        <w:tc>
          <w:tcPr>
            <w:tcW w:w="247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>Ratei e Risconti Attivi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2.494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-907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1.587</w:t>
            </w:r>
          </w:p>
        </w:tc>
      </w:tr>
    </w:tbl>
    <w:p w:rsidR="006D639A" w:rsidRDefault="006D639A">
      <w:pPr>
        <w:widowControl w:val="0"/>
        <w:spacing w:line="240" w:lineRule="auto"/>
        <w:rPr>
          <w:b/>
          <w:bCs/>
        </w:rPr>
      </w:pPr>
    </w:p>
    <w:p w:rsidR="006D639A" w:rsidRDefault="00545523">
      <w:r>
        <w:rPr>
          <w:rFonts w:eastAsia="Arial Unicode MS" w:cs="Arial Unicode MS"/>
        </w:rPr>
        <w:t xml:space="preserve">  </w:t>
      </w:r>
    </w:p>
    <w:p w:rsidR="006D639A" w:rsidRDefault="00545523">
      <w:pPr>
        <w:rPr>
          <w:b/>
          <w:bCs/>
        </w:rPr>
      </w:pPr>
      <w:r>
        <w:rPr>
          <w:rFonts w:eastAsia="Arial Unicode MS" w:cs="Arial Unicode MS"/>
          <w:b/>
          <w:bCs/>
        </w:rPr>
        <w:t xml:space="preserve">Passivo </w:t>
      </w:r>
    </w:p>
    <w:tbl>
      <w:tblPr>
        <w:tblStyle w:val="TableNormal"/>
        <w:tblW w:w="84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2476"/>
        <w:gridCol w:w="2188"/>
        <w:gridCol w:w="1776"/>
        <w:gridCol w:w="1994"/>
      </w:tblGrid>
      <w:tr w:rsidR="006D639A">
        <w:trPr>
          <w:trHeight w:val="197"/>
          <w:tblHeader/>
        </w:trPr>
        <w:tc>
          <w:tcPr>
            <w:tcW w:w="247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rPr>
                <w:b/>
                <w:bCs/>
              </w:rPr>
              <w:t>Dettaglio</w:t>
            </w:r>
          </w:p>
        </w:tc>
        <w:tc>
          <w:tcPr>
            <w:tcW w:w="218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proofErr w:type="spellStart"/>
            <w:r>
              <w:rPr>
                <w:b/>
                <w:bCs/>
              </w:rPr>
              <w:t>Consist</w:t>
            </w:r>
            <w:proofErr w:type="spellEnd"/>
            <w:r>
              <w:rPr>
                <w:b/>
                <w:bCs/>
              </w:rPr>
              <w:t>. iniziale</w:t>
            </w:r>
          </w:p>
        </w:tc>
        <w:tc>
          <w:tcPr>
            <w:tcW w:w="177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rPr>
                <w:b/>
                <w:bCs/>
              </w:rPr>
              <w:t>Variazione</w:t>
            </w:r>
          </w:p>
        </w:tc>
        <w:tc>
          <w:tcPr>
            <w:tcW w:w="199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proofErr w:type="spellStart"/>
            <w:r>
              <w:rPr>
                <w:b/>
                <w:bCs/>
              </w:rPr>
              <w:t>Consist</w:t>
            </w:r>
            <w:proofErr w:type="spellEnd"/>
            <w:r>
              <w:rPr>
                <w:b/>
                <w:bCs/>
              </w:rPr>
              <w:t>. finale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24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>Fondo rischi e oneri</w:t>
            </w:r>
          </w:p>
        </w:tc>
        <w:tc>
          <w:tcPr>
            <w:tcW w:w="21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20.032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20.032</w:t>
            </w:r>
          </w:p>
        </w:tc>
      </w:tr>
      <w:tr w:rsidR="006D639A">
        <w:tblPrEx>
          <w:shd w:val="clear" w:color="auto" w:fill="CED7E7"/>
        </w:tblPrEx>
        <w:trPr>
          <w:trHeight w:val="187"/>
        </w:trPr>
        <w:tc>
          <w:tcPr>
            <w:tcW w:w="247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>Fondo  TFR</w:t>
            </w:r>
          </w:p>
        </w:tc>
        <w:tc>
          <w:tcPr>
            <w:tcW w:w="218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571.198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47.643</w:t>
            </w:r>
          </w:p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618.841</w:t>
            </w:r>
          </w:p>
        </w:tc>
      </w:tr>
      <w:tr w:rsidR="006D639A">
        <w:tblPrEx>
          <w:shd w:val="clear" w:color="auto" w:fill="CED7E7"/>
        </w:tblPrEx>
        <w:trPr>
          <w:trHeight w:val="185"/>
        </w:trPr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>Debiti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822.040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-72.578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749.462</w:t>
            </w:r>
          </w:p>
        </w:tc>
      </w:tr>
    </w:tbl>
    <w:p w:rsidR="006D639A" w:rsidRDefault="006D639A">
      <w:pPr>
        <w:widowControl w:val="0"/>
        <w:spacing w:line="240" w:lineRule="auto"/>
        <w:rPr>
          <w:b/>
          <w:bCs/>
        </w:rPr>
      </w:pPr>
    </w:p>
    <w:p w:rsidR="006D639A" w:rsidRDefault="006D639A">
      <w:pPr>
        <w:rPr>
          <w:shd w:val="clear" w:color="auto" w:fill="FFFF00"/>
        </w:rPr>
      </w:pPr>
    </w:p>
    <w:p w:rsidR="006D639A" w:rsidRDefault="00545523">
      <w:pPr>
        <w:pStyle w:val="Titolo1"/>
      </w:pPr>
      <w:r>
        <w:t>Crediti e debiti distinti per durata residua e Debiti assistiti da garanzie reali</w:t>
      </w:r>
    </w:p>
    <w:p w:rsidR="006D639A" w:rsidRDefault="00545523">
      <w:r>
        <w:rPr>
          <w:rFonts w:eastAsia="Arial Unicode MS" w:cs="Arial Unicode MS"/>
        </w:rPr>
        <w:t>Nei seguenti prospetti, distintamente per ciascuna voce, sono indicati i crediti e i debiti sociali con indicazione della loro durata residua.</w:t>
      </w:r>
    </w:p>
    <w:p w:rsidR="006D639A" w:rsidRDefault="00545523">
      <w:pPr>
        <w:pStyle w:val="Titolo2"/>
      </w:pPr>
      <w:r>
        <w:lastRenderedPageBreak/>
        <w:t>Crediti per durata residua</w:t>
      </w:r>
    </w:p>
    <w:tbl>
      <w:tblPr>
        <w:tblStyle w:val="TableNormal"/>
        <w:tblW w:w="99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8411"/>
        <w:gridCol w:w="1540"/>
      </w:tblGrid>
      <w:tr w:rsidR="006D639A">
        <w:trPr>
          <w:trHeight w:val="197"/>
          <w:tblHeader/>
        </w:trPr>
        <w:tc>
          <w:tcPr>
            <w:tcW w:w="841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rPr>
                <w:b/>
                <w:bCs/>
              </w:rPr>
              <w:t>Italia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rPr>
                <w:b/>
                <w:bCs/>
              </w:rPr>
              <w:t>Importo esigibile entro l'es. successivo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rPr>
                <w:b/>
                <w:bCs/>
              </w:rPr>
              <w:t>599.686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left"/>
            </w:pPr>
            <w:r>
              <w:t>Clienti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right"/>
            </w:pPr>
            <w:r>
              <w:t>22.186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left"/>
            </w:pPr>
            <w:r>
              <w:t>Fatture da emettere a clienti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right"/>
            </w:pPr>
            <w:r>
              <w:t>1.316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left"/>
            </w:pPr>
            <w:r>
              <w:t>Crediti tributari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right"/>
            </w:pPr>
            <w:r>
              <w:t>87.472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left"/>
            </w:pPr>
            <w:r>
              <w:t>Crediti diversi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right"/>
            </w:pPr>
            <w:r>
              <w:t>620.837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left"/>
            </w:pPr>
            <w:proofErr w:type="spellStart"/>
            <w:r>
              <w:t>F.do</w:t>
            </w:r>
            <w:proofErr w:type="spellEnd"/>
            <w:r>
              <w:t xml:space="preserve"> svalutazione crediti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right"/>
            </w:pPr>
            <w:r>
              <w:t>-132.125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rPr>
                <w:b/>
                <w:bCs/>
              </w:rPr>
              <w:t>Importo esigibile oltre l'es. succ. entro 5 anni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rPr>
                <w:b/>
                <w:bCs/>
              </w:rPr>
              <w:t>Importo esigibile oltre 5 anni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6D639A">
        <w:tblPrEx>
          <w:shd w:val="clear" w:color="auto" w:fill="CED7E7"/>
        </w:tblPrEx>
        <w:trPr>
          <w:trHeight w:val="197"/>
        </w:trPr>
        <w:tc>
          <w:tcPr>
            <w:tcW w:w="841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rPr>
                <w:b/>
                <w:bCs/>
              </w:rPr>
              <w:t xml:space="preserve">                                 Totale 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rPr>
                <w:b/>
                <w:bCs/>
              </w:rPr>
              <w:t>599.686</w:t>
            </w:r>
          </w:p>
        </w:tc>
      </w:tr>
    </w:tbl>
    <w:p w:rsidR="006D639A" w:rsidRDefault="006D639A">
      <w:pPr>
        <w:pStyle w:val="Titolo2"/>
        <w:widowControl w:val="0"/>
        <w:pBdr>
          <w:bottom w:val="nil"/>
        </w:pBdr>
        <w:spacing w:line="240" w:lineRule="auto"/>
      </w:pPr>
    </w:p>
    <w:p w:rsidR="006D639A" w:rsidRDefault="00545523">
      <w:pPr>
        <w:pStyle w:val="Titolo2"/>
      </w:pPr>
      <w:r>
        <w:t>Debiti distinti per durata residua</w:t>
      </w:r>
    </w:p>
    <w:tbl>
      <w:tblPr>
        <w:tblStyle w:val="TableNormal"/>
        <w:tblW w:w="99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8361"/>
        <w:gridCol w:w="1590"/>
      </w:tblGrid>
      <w:tr w:rsidR="006D639A">
        <w:trPr>
          <w:trHeight w:val="197"/>
          <w:tblHeader/>
        </w:trPr>
        <w:tc>
          <w:tcPr>
            <w:tcW w:w="836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15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rPr>
                <w:b/>
                <w:bCs/>
              </w:rPr>
              <w:t>Italia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rPr>
                <w:b/>
                <w:bCs/>
              </w:rPr>
              <w:t xml:space="preserve">Importo esigibile entro l'esercizio  successivo 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rPr>
                <w:b/>
                <w:bCs/>
              </w:rPr>
              <w:t>749.462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>Banche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64.978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left"/>
            </w:pPr>
            <w:r>
              <w:t>Fornitori terzi Italia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right"/>
            </w:pPr>
            <w:r>
              <w:t>368.688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left"/>
            </w:pPr>
            <w:r>
              <w:t>Fatture da ricevere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right"/>
            </w:pPr>
            <w:r>
              <w:t>57.778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left"/>
            </w:pPr>
            <w:r>
              <w:t xml:space="preserve">Debiti vs Enti previdenziali e assistenziali 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right"/>
            </w:pPr>
            <w:r>
              <w:t>58.264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left"/>
            </w:pPr>
            <w:r>
              <w:t>Debiti diversi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right"/>
            </w:pPr>
            <w:r>
              <w:t>47.661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left"/>
            </w:pPr>
            <w:r>
              <w:t xml:space="preserve">Debiti </w:t>
            </w:r>
            <w:proofErr w:type="spellStart"/>
            <w:r>
              <w:t>Vs</w:t>
            </w:r>
            <w:proofErr w:type="spellEnd"/>
            <w:r>
              <w:t xml:space="preserve"> Erario 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right"/>
            </w:pPr>
            <w:r>
              <w:t>152.093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rPr>
                <w:b/>
                <w:bCs/>
              </w:rPr>
              <w:t>Importo esigibile oltre l'esercizio  successivo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left"/>
            </w:pPr>
            <w:r>
              <w:rPr>
                <w:b/>
                <w:bCs/>
              </w:rPr>
              <w:t>Importo esigibile oltre 5 anni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639A" w:rsidRDefault="00545523">
            <w:pPr>
              <w:pStyle w:val="Tabella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8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rPr>
                <w:b/>
                <w:bCs/>
              </w:rPr>
              <w:t xml:space="preserve">                                      Totale 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rPr>
                <w:b/>
                <w:bCs/>
              </w:rPr>
              <w:t>749.462</w:t>
            </w:r>
          </w:p>
        </w:tc>
      </w:tr>
    </w:tbl>
    <w:p w:rsidR="006D639A" w:rsidRDefault="006D639A">
      <w:pPr>
        <w:pStyle w:val="Titolo2"/>
        <w:widowControl w:val="0"/>
        <w:pBdr>
          <w:bottom w:val="nil"/>
        </w:pBdr>
        <w:spacing w:line="240" w:lineRule="auto"/>
      </w:pPr>
    </w:p>
    <w:p w:rsidR="006D639A" w:rsidRDefault="00545523">
      <w:pPr>
        <w:pStyle w:val="Titolo1"/>
      </w:pPr>
      <w:r>
        <w:t xml:space="preserve">Composizione delle voci Ratei e Risconti </w:t>
      </w:r>
    </w:p>
    <w:p w:rsidR="006D639A" w:rsidRDefault="00545523">
      <w:pPr>
        <w:pStyle w:val="Titolo2"/>
      </w:pPr>
      <w:r>
        <w:t>Ratei e Risconti attivi</w:t>
      </w:r>
    </w:p>
    <w:p w:rsidR="006D639A" w:rsidRDefault="006D639A"/>
    <w:p w:rsidR="006D639A" w:rsidRDefault="00545523">
      <w:r>
        <w:rPr>
          <w:rFonts w:eastAsia="Arial Unicode MS" w:cs="Arial Unicode MS"/>
        </w:rPr>
        <w:t xml:space="preserve">Nel seguente prospetto e' illustrata la composizione delle voci Ratei e risconti.  </w:t>
      </w:r>
    </w:p>
    <w:tbl>
      <w:tblPr>
        <w:tblStyle w:val="TableNormal"/>
        <w:tblW w:w="99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2963"/>
        <w:gridCol w:w="3535"/>
        <w:gridCol w:w="3453"/>
      </w:tblGrid>
      <w:tr w:rsidR="006D639A">
        <w:trPr>
          <w:trHeight w:val="197"/>
          <w:tblHeader/>
        </w:trPr>
        <w:tc>
          <w:tcPr>
            <w:tcW w:w="296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rPr>
                <w:b/>
                <w:bCs/>
              </w:rPr>
              <w:lastRenderedPageBreak/>
              <w:t>Descrizione</w:t>
            </w:r>
          </w:p>
        </w:tc>
        <w:tc>
          <w:tcPr>
            <w:tcW w:w="353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rPr>
                <w:b/>
                <w:bCs/>
              </w:rPr>
              <w:t>Dettaglio</w:t>
            </w:r>
          </w:p>
        </w:tc>
        <w:tc>
          <w:tcPr>
            <w:tcW w:w="345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rPr>
                <w:b/>
                <w:bCs/>
              </w:rPr>
              <w:t>Importo esercizio corrente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2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Pr="00AB7569" w:rsidRDefault="00545523">
            <w:pPr>
              <w:pStyle w:val="Tabella"/>
              <w:jc w:val="left"/>
            </w:pPr>
            <w:r w:rsidRPr="00AB7569">
              <w:t>Risconti attivi</w:t>
            </w:r>
          </w:p>
        </w:tc>
        <w:tc>
          <w:tcPr>
            <w:tcW w:w="35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Pr="00AB7569" w:rsidRDefault="00545523">
            <w:pPr>
              <w:pStyle w:val="Tabella"/>
              <w:jc w:val="left"/>
            </w:pPr>
            <w:r w:rsidRPr="00AB7569">
              <w:t>Risconti attivi su leasing</w:t>
            </w:r>
          </w:p>
        </w:tc>
        <w:tc>
          <w:tcPr>
            <w:tcW w:w="34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1.446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2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6D639A"/>
        </w:tc>
        <w:tc>
          <w:tcPr>
            <w:tcW w:w="35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 xml:space="preserve">Risconti attivi su spese di servizi </w:t>
            </w:r>
          </w:p>
        </w:tc>
        <w:tc>
          <w:tcPr>
            <w:tcW w:w="34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141</w:t>
            </w:r>
          </w:p>
        </w:tc>
      </w:tr>
      <w:tr w:rsidR="006D639A">
        <w:tblPrEx>
          <w:shd w:val="clear" w:color="auto" w:fill="CED7E7"/>
        </w:tblPrEx>
        <w:trPr>
          <w:trHeight w:val="197"/>
        </w:trPr>
        <w:tc>
          <w:tcPr>
            <w:tcW w:w="296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6D639A"/>
        </w:tc>
        <w:tc>
          <w:tcPr>
            <w:tcW w:w="353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rPr>
                <w:b/>
                <w:bCs/>
              </w:rPr>
              <w:t xml:space="preserve">Totale </w:t>
            </w:r>
          </w:p>
        </w:tc>
        <w:tc>
          <w:tcPr>
            <w:tcW w:w="345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rPr>
                <w:b/>
                <w:bCs/>
              </w:rPr>
              <w:t>1.587</w:t>
            </w:r>
          </w:p>
        </w:tc>
      </w:tr>
    </w:tbl>
    <w:p w:rsidR="006D639A" w:rsidRDefault="006D639A">
      <w:pPr>
        <w:widowControl w:val="0"/>
        <w:spacing w:line="240" w:lineRule="auto"/>
      </w:pPr>
    </w:p>
    <w:p w:rsidR="006D639A" w:rsidRDefault="006D639A"/>
    <w:p w:rsidR="006D639A" w:rsidRDefault="00545523">
      <w:pPr>
        <w:pStyle w:val="Titolo1"/>
      </w:pPr>
      <w:r>
        <w:t>Indicazione analitica delle voci di Patrimonio Netto</w:t>
      </w:r>
    </w:p>
    <w:p w:rsidR="006D639A" w:rsidRDefault="00545523">
      <w:r>
        <w:rPr>
          <w:rFonts w:eastAsia="Arial Unicode MS" w:cs="Arial Unicode MS"/>
        </w:rPr>
        <w:t xml:space="preserve">Nei seguenti prospetti sono analiticamente indicate le voci di patrimonio netto, con specificazione della loro origine, possibilità di utilizzazione e </w:t>
      </w:r>
      <w:proofErr w:type="spellStart"/>
      <w:r>
        <w:rPr>
          <w:rFonts w:eastAsia="Arial Unicode MS" w:cs="Arial Unicode MS"/>
        </w:rPr>
        <w:t>distribuibilità</w:t>
      </w:r>
      <w:proofErr w:type="spellEnd"/>
      <w:r>
        <w:rPr>
          <w:rFonts w:eastAsia="Arial Unicode MS" w:cs="Arial Unicode MS"/>
        </w:rPr>
        <w:t>, nonché della loro avvenuta utilizzazione nei precedenti esercizi.</w:t>
      </w:r>
    </w:p>
    <w:p w:rsidR="006D639A" w:rsidRDefault="00545523">
      <w:pPr>
        <w:pStyle w:val="Titolo2"/>
      </w:pPr>
      <w:r>
        <w:t>Composizione del Patrimonio Netto</w:t>
      </w:r>
    </w:p>
    <w:tbl>
      <w:tblPr>
        <w:tblStyle w:val="TableNormal"/>
        <w:tblW w:w="45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3300"/>
        <w:gridCol w:w="1275"/>
      </w:tblGrid>
      <w:tr w:rsidR="006D639A">
        <w:trPr>
          <w:trHeight w:val="385"/>
          <w:tblHeader/>
        </w:trPr>
        <w:tc>
          <w:tcPr>
            <w:tcW w:w="33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rPr>
                <w:b/>
                <w:bCs/>
              </w:rPr>
              <w:t>Importo a bilancio</w:t>
            </w:r>
          </w:p>
        </w:tc>
      </w:tr>
      <w:tr w:rsidR="006D639A">
        <w:tblPrEx>
          <w:shd w:val="clear" w:color="auto" w:fill="CED7E7"/>
        </w:tblPrEx>
        <w:trPr>
          <w:trHeight w:val="197"/>
        </w:trPr>
        <w:tc>
          <w:tcPr>
            <w:tcW w:w="330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 xml:space="preserve">Fondo di dotazione 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389.573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>Altre riserve di  avanzo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225.000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>Altre riserve di capitale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206.583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>Avanzo (disavanzo) portato a nuovo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-415.248</w:t>
            </w:r>
          </w:p>
        </w:tc>
      </w:tr>
      <w:tr w:rsidR="006D639A">
        <w:tblPrEx>
          <w:shd w:val="clear" w:color="auto" w:fill="CED7E7"/>
        </w:tblPrEx>
        <w:trPr>
          <w:trHeight w:val="370"/>
        </w:trPr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>Avanzo (disavanzo) esercizi precedenti  portato a nuovo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369.546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>Avanzo  di esercizio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t>80.588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rPr>
                <w:i/>
                <w:iCs/>
              </w:rPr>
              <w:t>Totale Composizione voci PN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right"/>
            </w:pPr>
            <w:r>
              <w:rPr>
                <w:i/>
                <w:iCs/>
              </w:rPr>
              <w:t>856.042</w:t>
            </w:r>
          </w:p>
        </w:tc>
      </w:tr>
    </w:tbl>
    <w:p w:rsidR="006D639A" w:rsidRDefault="006D639A">
      <w:pPr>
        <w:pStyle w:val="Titolo2"/>
        <w:widowControl w:val="0"/>
        <w:pBdr>
          <w:bottom w:val="nil"/>
        </w:pBdr>
        <w:spacing w:line="240" w:lineRule="auto"/>
      </w:pPr>
    </w:p>
    <w:p w:rsidR="006D639A" w:rsidRDefault="006D639A"/>
    <w:p w:rsidR="006D639A" w:rsidRDefault="00545523">
      <w:r>
        <w:rPr>
          <w:rFonts w:eastAsia="Arial Unicode MS" w:cs="Arial Unicode MS"/>
        </w:rPr>
        <w:t>Il Fondo di dotazione è pari a € 389.573 è stato integralmente versato.</w:t>
      </w:r>
    </w:p>
    <w:p w:rsidR="006D639A" w:rsidRDefault="00545523">
      <w:pPr>
        <w:pStyle w:val="Titolo2"/>
      </w:pPr>
      <w:r>
        <w:t>Movimenti del Patrimonio Netto</w:t>
      </w:r>
    </w:p>
    <w:p w:rsidR="006D639A" w:rsidRDefault="006D639A">
      <w:pPr>
        <w:rPr>
          <w:shd w:val="clear" w:color="auto" w:fill="FFFF00"/>
        </w:rPr>
      </w:pPr>
    </w:p>
    <w:p w:rsidR="006D639A" w:rsidRDefault="00545523">
      <w:pPr>
        <w:tabs>
          <w:tab w:val="left" w:pos="8222"/>
        </w:tabs>
        <w:rPr>
          <w:b/>
          <w:bCs/>
        </w:rPr>
      </w:pPr>
      <w:proofErr w:type="spellStart"/>
      <w:r>
        <w:rPr>
          <w:b/>
          <w:bCs/>
        </w:rPr>
        <w:t>A.I</w:t>
      </w:r>
      <w:proofErr w:type="spellEnd"/>
      <w:r>
        <w:rPr>
          <w:b/>
          <w:bCs/>
        </w:rPr>
        <w:t xml:space="preserve">     Fondo di dotazione:</w:t>
      </w:r>
    </w:p>
    <w:p w:rsidR="006D639A" w:rsidRDefault="006D639A">
      <w:pPr>
        <w:tabs>
          <w:tab w:val="left" w:pos="8222"/>
        </w:tabs>
        <w:rPr>
          <w:b/>
          <w:bCs/>
        </w:rPr>
      </w:pPr>
    </w:p>
    <w:tbl>
      <w:tblPr>
        <w:tblStyle w:val="TableNormal"/>
        <w:tblW w:w="100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05"/>
        <w:gridCol w:w="5006"/>
      </w:tblGrid>
      <w:tr w:rsidR="006D639A">
        <w:trPr>
          <w:trHeight w:val="22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</w:pPr>
            <w:r>
              <w:t>Valore di bilancio alla fine dell’esercizio precedente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tabs>
                <w:tab w:val="left" w:pos="8222"/>
              </w:tabs>
              <w:jc w:val="right"/>
            </w:pPr>
            <w:r>
              <w:t>389.573</w:t>
            </w:r>
          </w:p>
        </w:tc>
      </w:tr>
      <w:tr w:rsidR="006D639A">
        <w:trPr>
          <w:trHeight w:val="22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</w:pPr>
            <w:r>
              <w:t>Variazione dell’esercizio corrente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  <w:jc w:val="right"/>
            </w:pPr>
            <w:r>
              <w:t>0</w:t>
            </w:r>
          </w:p>
        </w:tc>
      </w:tr>
      <w:tr w:rsidR="006D639A">
        <w:trPr>
          <w:trHeight w:val="22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</w:pPr>
            <w:r>
              <w:t>Valore di bilancio alla fine  dell’esercizio corrente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  <w:jc w:val="right"/>
            </w:pPr>
            <w:r>
              <w:t>389.573</w:t>
            </w:r>
          </w:p>
        </w:tc>
      </w:tr>
    </w:tbl>
    <w:p w:rsidR="006D639A" w:rsidRDefault="006D639A">
      <w:pPr>
        <w:widowControl w:val="0"/>
        <w:tabs>
          <w:tab w:val="left" w:pos="8222"/>
        </w:tabs>
        <w:spacing w:line="240" w:lineRule="auto"/>
        <w:rPr>
          <w:b/>
          <w:bCs/>
        </w:rPr>
      </w:pPr>
    </w:p>
    <w:p w:rsidR="006D639A" w:rsidRDefault="006D639A">
      <w:pPr>
        <w:rPr>
          <w:shd w:val="clear" w:color="auto" w:fill="FFFF00"/>
        </w:rPr>
      </w:pPr>
    </w:p>
    <w:p w:rsidR="006D639A" w:rsidRDefault="006D639A">
      <w:pPr>
        <w:rPr>
          <w:shd w:val="clear" w:color="auto" w:fill="FFFF00"/>
        </w:rPr>
      </w:pPr>
    </w:p>
    <w:p w:rsidR="006D639A" w:rsidRDefault="006D639A">
      <w:pPr>
        <w:rPr>
          <w:b/>
          <w:bCs/>
        </w:rPr>
      </w:pPr>
    </w:p>
    <w:p w:rsidR="006D639A" w:rsidRDefault="00545523">
      <w:proofErr w:type="spellStart"/>
      <w:r>
        <w:rPr>
          <w:rFonts w:eastAsia="Arial Unicode MS" w:cs="Arial Unicode MS"/>
          <w:b/>
          <w:bCs/>
        </w:rPr>
        <w:t>A.VII</w:t>
      </w:r>
      <w:proofErr w:type="spellEnd"/>
      <w:r>
        <w:rPr>
          <w:rFonts w:eastAsia="Arial Unicode MS" w:cs="Arial Unicode MS"/>
          <w:b/>
          <w:bCs/>
        </w:rPr>
        <w:t xml:space="preserve">  Altre Riserve: Altre riserve di Avanzo</w:t>
      </w:r>
      <w:r>
        <w:rPr>
          <w:rFonts w:eastAsia="Arial Unicode MS" w:cs="Arial Unicode MS"/>
        </w:rPr>
        <w:t>:</w:t>
      </w:r>
      <w:r>
        <w:rPr>
          <w:rFonts w:eastAsia="Arial Unicode MS" w:cs="Arial Unicode MS"/>
        </w:rPr>
        <w:tab/>
      </w:r>
    </w:p>
    <w:p w:rsidR="006D639A" w:rsidRDefault="006D639A"/>
    <w:tbl>
      <w:tblPr>
        <w:tblStyle w:val="TableNormal"/>
        <w:tblW w:w="100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05"/>
        <w:gridCol w:w="5006"/>
      </w:tblGrid>
      <w:tr w:rsidR="006D639A">
        <w:trPr>
          <w:trHeight w:val="22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</w:pPr>
            <w:r>
              <w:t>Valore di bilancio alla fine dell’esercizio precedente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tabs>
                <w:tab w:val="left" w:pos="8222"/>
              </w:tabs>
              <w:jc w:val="right"/>
            </w:pPr>
            <w:r>
              <w:t>225.000</w:t>
            </w:r>
          </w:p>
        </w:tc>
      </w:tr>
      <w:tr w:rsidR="006D639A">
        <w:trPr>
          <w:trHeight w:val="22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</w:pPr>
            <w:r>
              <w:t>Variazione dell’esercizio corrente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  <w:jc w:val="right"/>
            </w:pPr>
            <w:r>
              <w:t>0</w:t>
            </w:r>
          </w:p>
        </w:tc>
      </w:tr>
      <w:tr w:rsidR="006D639A">
        <w:trPr>
          <w:trHeight w:val="22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</w:pPr>
            <w:r>
              <w:t>Valore di bilancio alla fine  dell’esercizio corrente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  <w:jc w:val="right"/>
            </w:pPr>
            <w:r>
              <w:t>225.000</w:t>
            </w:r>
          </w:p>
        </w:tc>
      </w:tr>
    </w:tbl>
    <w:p w:rsidR="006D639A" w:rsidRDefault="006D639A">
      <w:pPr>
        <w:widowControl w:val="0"/>
        <w:spacing w:line="240" w:lineRule="auto"/>
      </w:pPr>
    </w:p>
    <w:p w:rsidR="006D639A" w:rsidRDefault="006D639A"/>
    <w:p w:rsidR="006D639A" w:rsidRDefault="006D639A">
      <w:pPr>
        <w:rPr>
          <w:b/>
          <w:bCs/>
        </w:rPr>
      </w:pPr>
    </w:p>
    <w:p w:rsidR="006D639A" w:rsidRDefault="00545523">
      <w:proofErr w:type="spellStart"/>
      <w:r>
        <w:rPr>
          <w:rFonts w:eastAsia="Arial Unicode MS" w:cs="Arial Unicode MS"/>
          <w:b/>
          <w:bCs/>
        </w:rPr>
        <w:t>A.VII</w:t>
      </w:r>
      <w:proofErr w:type="spellEnd"/>
      <w:r>
        <w:rPr>
          <w:rFonts w:eastAsia="Arial Unicode MS" w:cs="Arial Unicode MS"/>
          <w:b/>
          <w:bCs/>
        </w:rPr>
        <w:t xml:space="preserve">  Altre Riserve: Altre riserve di capitale</w:t>
      </w:r>
      <w:r>
        <w:rPr>
          <w:rFonts w:eastAsia="Arial Unicode MS" w:cs="Arial Unicode MS"/>
        </w:rPr>
        <w:t>:</w:t>
      </w:r>
      <w:r>
        <w:rPr>
          <w:rFonts w:eastAsia="Arial Unicode MS" w:cs="Arial Unicode MS"/>
        </w:rPr>
        <w:tab/>
      </w:r>
    </w:p>
    <w:p w:rsidR="006D639A" w:rsidRDefault="00545523">
      <w:r>
        <w:tab/>
      </w:r>
    </w:p>
    <w:tbl>
      <w:tblPr>
        <w:tblStyle w:val="TableNormal"/>
        <w:tblW w:w="100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05"/>
        <w:gridCol w:w="5006"/>
      </w:tblGrid>
      <w:tr w:rsidR="006D639A">
        <w:trPr>
          <w:trHeight w:val="22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</w:pPr>
            <w:r>
              <w:t>Valore di bilancio alla fine dell’esercizio precedente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tabs>
                <w:tab w:val="left" w:pos="8222"/>
              </w:tabs>
              <w:jc w:val="right"/>
            </w:pPr>
            <w:r>
              <w:t>206.583</w:t>
            </w:r>
          </w:p>
        </w:tc>
      </w:tr>
      <w:tr w:rsidR="006D639A">
        <w:trPr>
          <w:trHeight w:val="22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</w:pPr>
            <w:r>
              <w:t>Variazione dell’esercizio corrente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  <w:jc w:val="right"/>
            </w:pPr>
            <w:r>
              <w:t>0</w:t>
            </w:r>
          </w:p>
        </w:tc>
      </w:tr>
      <w:tr w:rsidR="006D639A">
        <w:trPr>
          <w:trHeight w:val="22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</w:pPr>
            <w:r>
              <w:t>Valore di bilancio alla fine  dell’esercizio corrente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  <w:jc w:val="right"/>
            </w:pPr>
            <w:r>
              <w:t>206.583</w:t>
            </w:r>
          </w:p>
        </w:tc>
      </w:tr>
    </w:tbl>
    <w:p w:rsidR="006D639A" w:rsidRDefault="006D639A">
      <w:pPr>
        <w:widowControl w:val="0"/>
        <w:spacing w:line="240" w:lineRule="auto"/>
      </w:pPr>
    </w:p>
    <w:p w:rsidR="006D639A" w:rsidRDefault="006D639A"/>
    <w:p w:rsidR="006D639A" w:rsidRDefault="006D639A">
      <w:pPr>
        <w:rPr>
          <w:b/>
          <w:bCs/>
        </w:rPr>
      </w:pPr>
    </w:p>
    <w:p w:rsidR="006D639A" w:rsidRDefault="00545523">
      <w:proofErr w:type="spellStart"/>
      <w:r>
        <w:rPr>
          <w:rFonts w:eastAsia="Arial Unicode MS" w:cs="Arial Unicode MS"/>
          <w:b/>
          <w:bCs/>
        </w:rPr>
        <w:t>A.VIII</w:t>
      </w:r>
      <w:proofErr w:type="spellEnd"/>
      <w:r>
        <w:rPr>
          <w:rFonts w:eastAsia="Arial Unicode MS" w:cs="Arial Unicode MS"/>
          <w:b/>
          <w:bCs/>
        </w:rPr>
        <w:t xml:space="preserve">  Avanzo (Disavanzo) portato a nuovo</w:t>
      </w:r>
      <w:r>
        <w:rPr>
          <w:rFonts w:eastAsia="Arial Unicode MS" w:cs="Arial Unicode MS"/>
        </w:rPr>
        <w:t>:</w:t>
      </w:r>
      <w:r>
        <w:rPr>
          <w:rFonts w:eastAsia="Arial Unicode MS" w:cs="Arial Unicode MS"/>
        </w:rPr>
        <w:tab/>
      </w:r>
    </w:p>
    <w:p w:rsidR="006D639A" w:rsidRDefault="00545523">
      <w:r>
        <w:tab/>
      </w:r>
    </w:p>
    <w:tbl>
      <w:tblPr>
        <w:tblStyle w:val="TableNormal"/>
        <w:tblW w:w="100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05"/>
        <w:gridCol w:w="5006"/>
      </w:tblGrid>
      <w:tr w:rsidR="006D639A">
        <w:trPr>
          <w:trHeight w:val="22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</w:pPr>
            <w:r>
              <w:t>Valore di bilancio alla fine dell’esercizio precedente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tabs>
                <w:tab w:val="left" w:pos="8222"/>
              </w:tabs>
              <w:jc w:val="right"/>
            </w:pPr>
            <w:r>
              <w:t>-192.740</w:t>
            </w:r>
          </w:p>
        </w:tc>
      </w:tr>
      <w:tr w:rsidR="006D639A">
        <w:trPr>
          <w:trHeight w:val="22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</w:pPr>
            <w:r>
              <w:t>Variazione dell’esercizio corrente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  <w:jc w:val="right"/>
            </w:pPr>
            <w:r>
              <w:t>-222.508</w:t>
            </w:r>
          </w:p>
        </w:tc>
      </w:tr>
      <w:tr w:rsidR="006D639A">
        <w:trPr>
          <w:trHeight w:val="22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</w:pPr>
            <w:r>
              <w:t>Valore di bilancio alla fine dell’esercizio corrente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  <w:jc w:val="right"/>
            </w:pPr>
            <w:r>
              <w:t>-415.248</w:t>
            </w:r>
          </w:p>
        </w:tc>
      </w:tr>
    </w:tbl>
    <w:p w:rsidR="006D639A" w:rsidRDefault="006D639A">
      <w:pPr>
        <w:widowControl w:val="0"/>
        <w:spacing w:line="240" w:lineRule="auto"/>
      </w:pPr>
    </w:p>
    <w:p w:rsidR="006D639A" w:rsidRDefault="006D639A">
      <w:pPr>
        <w:rPr>
          <w:shd w:val="clear" w:color="auto" w:fill="FFFF00"/>
        </w:rPr>
      </w:pPr>
    </w:p>
    <w:p w:rsidR="006D639A" w:rsidRDefault="006D639A">
      <w:pPr>
        <w:rPr>
          <w:b/>
          <w:bCs/>
        </w:rPr>
      </w:pPr>
    </w:p>
    <w:p w:rsidR="006D639A" w:rsidRDefault="006D639A">
      <w:pPr>
        <w:rPr>
          <w:b/>
          <w:bCs/>
        </w:rPr>
      </w:pPr>
    </w:p>
    <w:p w:rsidR="006D639A" w:rsidRDefault="00545523">
      <w:proofErr w:type="spellStart"/>
      <w:r>
        <w:rPr>
          <w:rFonts w:eastAsia="Arial Unicode MS" w:cs="Arial Unicode MS"/>
          <w:b/>
          <w:bCs/>
        </w:rPr>
        <w:t>A.VIII</w:t>
      </w:r>
      <w:proofErr w:type="spellEnd"/>
      <w:r>
        <w:rPr>
          <w:rFonts w:eastAsia="Arial Unicode MS" w:cs="Arial Unicode MS"/>
          <w:b/>
          <w:bCs/>
        </w:rPr>
        <w:t xml:space="preserve">  Avanzo (Disavanzo) precedente esercizio portato a nuovo</w:t>
      </w:r>
      <w:r>
        <w:rPr>
          <w:rFonts w:eastAsia="Arial Unicode MS" w:cs="Arial Unicode MS"/>
        </w:rPr>
        <w:t>:</w:t>
      </w:r>
      <w:r>
        <w:rPr>
          <w:rFonts w:eastAsia="Arial Unicode MS" w:cs="Arial Unicode MS"/>
        </w:rPr>
        <w:tab/>
      </w:r>
    </w:p>
    <w:p w:rsidR="006D639A" w:rsidRDefault="00545523">
      <w:r>
        <w:tab/>
      </w:r>
    </w:p>
    <w:tbl>
      <w:tblPr>
        <w:tblStyle w:val="TableNormal"/>
        <w:tblW w:w="100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05"/>
        <w:gridCol w:w="5006"/>
      </w:tblGrid>
      <w:tr w:rsidR="006D639A">
        <w:trPr>
          <w:trHeight w:val="22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</w:pPr>
            <w:r>
              <w:t>Valore di bilancio alla fine dell’esercizio precedente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tabs>
                <w:tab w:val="left" w:pos="8222"/>
              </w:tabs>
              <w:jc w:val="right"/>
            </w:pPr>
            <w:r>
              <w:t>1.286</w:t>
            </w:r>
          </w:p>
        </w:tc>
      </w:tr>
      <w:tr w:rsidR="006D639A">
        <w:trPr>
          <w:trHeight w:val="22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</w:pPr>
            <w:r>
              <w:t>Variazione dell’esercizio corrente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  <w:jc w:val="right"/>
            </w:pPr>
            <w:r>
              <w:t>368.260</w:t>
            </w:r>
          </w:p>
        </w:tc>
      </w:tr>
      <w:tr w:rsidR="006D639A">
        <w:trPr>
          <w:trHeight w:val="22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</w:pPr>
            <w:r>
              <w:t>Valore di bilancio alla fine  dell’esercizio corrente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tabs>
                <w:tab w:val="left" w:pos="8222"/>
              </w:tabs>
              <w:jc w:val="right"/>
            </w:pPr>
            <w:r>
              <w:t>369.546</w:t>
            </w:r>
          </w:p>
        </w:tc>
      </w:tr>
    </w:tbl>
    <w:p w:rsidR="006D639A" w:rsidRDefault="006D639A">
      <w:pPr>
        <w:widowControl w:val="0"/>
        <w:spacing w:line="240" w:lineRule="auto"/>
      </w:pPr>
    </w:p>
    <w:p w:rsidR="006D639A" w:rsidRDefault="006D639A">
      <w:pPr>
        <w:rPr>
          <w:shd w:val="clear" w:color="auto" w:fill="FFFF00"/>
        </w:rPr>
      </w:pPr>
    </w:p>
    <w:p w:rsidR="006D639A" w:rsidRDefault="00545523">
      <w:pPr>
        <w:widowControl w:val="0"/>
        <w:tabs>
          <w:tab w:val="left" w:pos="7230"/>
          <w:tab w:val="left" w:pos="8222"/>
        </w:tabs>
      </w:pPr>
      <w:r>
        <w:t xml:space="preserve">L’esercizio sociale al 31.12.2017 si chiude con un avanzo economico di esercizio di </w:t>
      </w:r>
      <w:r>
        <w:rPr>
          <w:b/>
          <w:bCs/>
        </w:rPr>
        <w:t>€</w:t>
      </w:r>
      <w:r>
        <w:t xml:space="preserve"> </w:t>
      </w:r>
      <w:r>
        <w:rPr>
          <w:b/>
          <w:bCs/>
        </w:rPr>
        <w:t xml:space="preserve">168.758 </w:t>
      </w:r>
      <w:r>
        <w:t xml:space="preserve">prima delle imposte correnti di competenza e con un avanzo economico di esercizio di </w:t>
      </w:r>
      <w:r>
        <w:rPr>
          <w:b/>
          <w:bCs/>
        </w:rPr>
        <w:t>€ 80.588</w:t>
      </w:r>
      <w:r>
        <w:t>, al netto delle imposte.</w:t>
      </w:r>
    </w:p>
    <w:p w:rsidR="006D639A" w:rsidRDefault="00545523">
      <w:pPr>
        <w:pStyle w:val="Titolo1"/>
      </w:pPr>
      <w:r>
        <w:lastRenderedPageBreak/>
        <w:t>Proventi da Partecipazioni diversi dai dividendi</w:t>
      </w:r>
    </w:p>
    <w:p w:rsidR="006D639A" w:rsidRDefault="00545523">
      <w:r>
        <w:rPr>
          <w:rFonts w:eastAsia="Arial Unicode MS" w:cs="Arial Unicode MS"/>
        </w:rPr>
        <w:t xml:space="preserve">La Fondazione Federico II non detiene partecipazioni in altre società. </w:t>
      </w:r>
    </w:p>
    <w:p w:rsidR="006D639A" w:rsidRDefault="00545523">
      <w:pPr>
        <w:pStyle w:val="Titolo1"/>
      </w:pPr>
      <w:r>
        <w:t>Suddivisione interessi ed altri oneri finanziari</w:t>
      </w:r>
    </w:p>
    <w:p w:rsidR="006D639A" w:rsidRDefault="00545523">
      <w:r>
        <w:rPr>
          <w:rFonts w:eastAsia="Arial Unicode MS" w:cs="Arial Unicode MS"/>
        </w:rPr>
        <w:t xml:space="preserve">Ai sensi dell'art. 2425, n. 17 del Codice Civile gli oneri finanziari iscritti in bilancio ed indicati per € 1.848 riguardano per € 1843 interessi passivi bancari ed € 5 perdite su cambi.  </w:t>
      </w:r>
    </w:p>
    <w:p w:rsidR="006D639A" w:rsidRDefault="006D639A"/>
    <w:p w:rsidR="006D639A" w:rsidRDefault="00545523">
      <w:pPr>
        <w:pStyle w:val="Titolo1"/>
      </w:pPr>
      <w:r>
        <w:t>Imposte dell’esercizio</w:t>
      </w:r>
    </w:p>
    <w:p w:rsidR="006D639A" w:rsidRDefault="00545523">
      <w:r>
        <w:rPr>
          <w:rFonts w:eastAsia="Arial Unicode MS" w:cs="Arial Unicode MS"/>
        </w:rPr>
        <w:t xml:space="preserve">La Fondazione ha provveduto allo stanziamento in bilancio delle imposte dell’esercizio sulla base dell’applicazione delle norme tributarie vigenti. </w:t>
      </w:r>
    </w:p>
    <w:p w:rsidR="006D639A" w:rsidRDefault="00545523">
      <w:r>
        <w:rPr>
          <w:rFonts w:eastAsia="Arial Unicode MS" w:cs="Arial Unicode MS"/>
        </w:rPr>
        <w:t>Le imposte di competenza dell’esercizio sono rappresentate dall'IRES che ammonta ad € 73.340 e dall’ IRAP che ammonta a € 14.830.</w:t>
      </w:r>
    </w:p>
    <w:p w:rsidR="006D639A" w:rsidRDefault="00545523">
      <w:pPr>
        <w:pStyle w:val="Titolo1"/>
      </w:pPr>
      <w:r>
        <w:t>Effetti delle variazioni nei cambi valutari</w:t>
      </w:r>
    </w:p>
    <w:p w:rsidR="006D639A" w:rsidRDefault="00545523">
      <w:r>
        <w:rPr>
          <w:rFonts w:eastAsia="Arial Unicode MS" w:cs="Arial Unicode MS"/>
        </w:rPr>
        <w:t>La Fondazione, alla data di chiusura dell’esercizio, detiene in cassa contanti valuta estera per un ammontare complessivo al 31.12.2017 di € 35,00.</w:t>
      </w:r>
    </w:p>
    <w:p w:rsidR="006D639A" w:rsidRDefault="00545523">
      <w:pPr>
        <w:pStyle w:val="Titolo1"/>
      </w:pPr>
      <w:r>
        <w:t>Operazioni con obbligo di retrocessione a termine</w:t>
      </w:r>
    </w:p>
    <w:p w:rsidR="006D639A" w:rsidRDefault="00545523">
      <w:r>
        <w:rPr>
          <w:rFonts w:eastAsia="Arial Unicode MS" w:cs="Arial Unicode MS"/>
        </w:rPr>
        <w:t>La Fondazione nel corso dell' esercizio non ha posto in essere alcuna operazione soggetta all'obbligo di retrocessione a termine.</w:t>
      </w:r>
    </w:p>
    <w:p w:rsidR="006D639A" w:rsidRDefault="00545523">
      <w:pPr>
        <w:pStyle w:val="Titolo1"/>
      </w:pPr>
      <w:r>
        <w:t>Altri strumenti finanziari emessi</w:t>
      </w:r>
    </w:p>
    <w:p w:rsidR="006D639A" w:rsidRDefault="00545523">
      <w:r>
        <w:rPr>
          <w:rFonts w:eastAsia="Arial Unicode MS" w:cs="Arial Unicode MS"/>
        </w:rPr>
        <w:t xml:space="preserve"> La Fondazione non ha emesso altri strumenti finanziari di cui al n. 19 del 1° comma dell’art. 2427 del Codice Civile.</w:t>
      </w:r>
    </w:p>
    <w:p w:rsidR="006D639A" w:rsidRDefault="00545523">
      <w:pPr>
        <w:pStyle w:val="Titolo1"/>
      </w:pPr>
      <w:r>
        <w:t>Rivalutazioni monetarie</w:t>
      </w:r>
    </w:p>
    <w:p w:rsidR="006D639A" w:rsidRDefault="00545523">
      <w:pPr>
        <w:rPr>
          <w:shd w:val="clear" w:color="auto" w:fill="00FF00"/>
        </w:rPr>
      </w:pPr>
      <w:r>
        <w:rPr>
          <w:rFonts w:eastAsia="Arial Unicode MS" w:cs="Arial Unicode MS"/>
        </w:rPr>
        <w:t xml:space="preserve">Si precisa che per i beni tuttora esistenti in patrimonio non è stata eseguita alcuna rivalutazione monetaria. </w:t>
      </w:r>
    </w:p>
    <w:p w:rsidR="006D639A" w:rsidRDefault="00545523">
      <w:pPr>
        <w:pStyle w:val="Titolo1"/>
      </w:pPr>
      <w:r>
        <w:t>Patrimoni destinati ad uno specifico affare</w:t>
      </w:r>
    </w:p>
    <w:p w:rsidR="006D639A" w:rsidRDefault="00545523">
      <w:r>
        <w:rPr>
          <w:rFonts w:eastAsia="Arial Unicode MS" w:cs="Arial Unicode MS"/>
        </w:rPr>
        <w:t>Si attesta che alla data di chiusura del bilancio non sussistono patrimoni destinati ad uno specifico affare di cui al n. 20 del 1° comma dell’art. 2427 del Codice Civile.</w:t>
      </w:r>
    </w:p>
    <w:p w:rsidR="006D639A" w:rsidRDefault="00545523">
      <w:pPr>
        <w:pStyle w:val="Titolo1"/>
      </w:pPr>
      <w:r>
        <w:lastRenderedPageBreak/>
        <w:t>Finanziamenti destinati ad uno specifico affare</w:t>
      </w:r>
    </w:p>
    <w:p w:rsidR="006D639A" w:rsidRDefault="00545523">
      <w:r>
        <w:rPr>
          <w:rFonts w:eastAsia="Arial Unicode MS" w:cs="Arial Unicode MS"/>
        </w:rPr>
        <w:t>Si attesta che alla data di chiusura del bilancio non sussistono finanziamenti destinati ad uno specifico affare di cui al n. 21 del 1° comma dell’art. 2427 del Codice Civile.</w:t>
      </w:r>
    </w:p>
    <w:p w:rsidR="006D639A" w:rsidRDefault="00545523">
      <w:pPr>
        <w:pStyle w:val="Titolo1"/>
      </w:pPr>
      <w:r>
        <w:t>Operazioni di locazione finanziaria</w:t>
      </w:r>
    </w:p>
    <w:p w:rsidR="006D639A" w:rsidRDefault="00545523">
      <w:r>
        <w:rPr>
          <w:rFonts w:eastAsia="Arial Unicode MS" w:cs="Arial Unicode MS"/>
        </w:rPr>
        <w:t xml:space="preserve">La Fondazione alla data di chiusura dell’esercizio ha in corso un contratto di leasing finanziario stipulato con </w:t>
      </w:r>
      <w:proofErr w:type="spellStart"/>
      <w:r>
        <w:rPr>
          <w:rFonts w:eastAsia="Arial Unicode MS" w:cs="Arial Unicode MS"/>
        </w:rPr>
        <w:t>Grenke</w:t>
      </w:r>
      <w:proofErr w:type="spellEnd"/>
      <w:r>
        <w:rPr>
          <w:rFonts w:eastAsia="Arial Unicode MS" w:cs="Arial Unicode MS"/>
        </w:rPr>
        <w:t xml:space="preserve"> Locazione S.r.l. per attrezzatura.</w:t>
      </w:r>
    </w:p>
    <w:p w:rsidR="006D639A" w:rsidRDefault="00545523">
      <w:r>
        <w:rPr>
          <w:rFonts w:eastAsia="Arial Unicode MS" w:cs="Arial Unicode MS"/>
        </w:rPr>
        <w:t>La Fondazione non ha sottoscritto alcun strumento finanziario derivato.</w:t>
      </w:r>
    </w:p>
    <w:p w:rsidR="006D639A" w:rsidRDefault="00545523">
      <w:pPr>
        <w:pStyle w:val="Titolo1"/>
      </w:pPr>
      <w:r>
        <w:t>Personale dipendente</w:t>
      </w:r>
      <w:r>
        <w:tab/>
      </w:r>
      <w:r>
        <w:tab/>
      </w:r>
      <w:r>
        <w:tab/>
        <w:t xml:space="preserve"> </w:t>
      </w:r>
    </w:p>
    <w:p w:rsidR="006D639A" w:rsidRDefault="00545523">
      <w:pPr>
        <w:spacing w:line="240" w:lineRule="auto"/>
      </w:pPr>
      <w:r>
        <w:t>Alla data del 31 dicembre 2017 risultano 43 dipendenti, oltre il Direttore Generale.</w:t>
      </w:r>
    </w:p>
    <w:p w:rsidR="006D639A" w:rsidRDefault="00545523">
      <w:pPr>
        <w:spacing w:line="240" w:lineRule="auto"/>
      </w:pPr>
      <w:r>
        <w:t xml:space="preserve">Tutti i dipendenti hanno un contratto di lavoro a tempo indeterminato. Gli impiegati con contratto full-time sono 16, mentre 25 impiegati hanno un contratto part-time al 75% e gli altri 2 impiegati al 70%. </w:t>
      </w:r>
    </w:p>
    <w:p w:rsidR="006D639A" w:rsidRDefault="006D639A">
      <w:pPr>
        <w:spacing w:line="240" w:lineRule="auto"/>
      </w:pPr>
    </w:p>
    <w:tbl>
      <w:tblPr>
        <w:tblStyle w:val="TableNormal"/>
        <w:tblW w:w="98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4571"/>
        <w:gridCol w:w="1765"/>
        <w:gridCol w:w="1764"/>
        <w:gridCol w:w="1764"/>
      </w:tblGrid>
      <w:tr w:rsidR="006D639A">
        <w:trPr>
          <w:trHeight w:val="565"/>
          <w:tblHeader/>
        </w:trPr>
        <w:tc>
          <w:tcPr>
            <w:tcW w:w="456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rPr>
                <w:b/>
                <w:bCs/>
              </w:rPr>
              <w:t>Dettaglio</w:t>
            </w:r>
          </w:p>
        </w:tc>
        <w:tc>
          <w:tcPr>
            <w:tcW w:w="17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rPr>
                <w:b/>
                <w:bCs/>
              </w:rPr>
              <w:t>Importo esercizio corrente</w:t>
            </w:r>
          </w:p>
        </w:tc>
        <w:tc>
          <w:tcPr>
            <w:tcW w:w="17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pStyle w:val="Tabella"/>
              <w:jc w:val="center"/>
            </w:pPr>
            <w:r>
              <w:rPr>
                <w:b/>
                <w:bCs/>
              </w:rPr>
              <w:t>Variazione</w:t>
            </w:r>
          </w:p>
        </w:tc>
        <w:tc>
          <w:tcPr>
            <w:tcW w:w="17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1D1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9A" w:rsidRDefault="00545523">
            <w:pPr>
              <w:pStyle w:val="Tabella"/>
              <w:jc w:val="center"/>
            </w:pPr>
            <w:r>
              <w:rPr>
                <w:b/>
                <w:bCs/>
              </w:rPr>
              <w:t>Importo esercizio precedente</w:t>
            </w:r>
          </w:p>
        </w:tc>
      </w:tr>
      <w:tr w:rsidR="006D639A">
        <w:tblPrEx>
          <w:shd w:val="clear" w:color="auto" w:fill="CED7E7"/>
        </w:tblPrEx>
        <w:trPr>
          <w:trHeight w:val="197"/>
        </w:trPr>
        <w:tc>
          <w:tcPr>
            <w:tcW w:w="456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 xml:space="preserve">Spese per stipendi  </w:t>
            </w:r>
          </w:p>
        </w:tc>
        <w:tc>
          <w:tcPr>
            <w:tcW w:w="176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t>1.203.446</w:t>
            </w:r>
          </w:p>
        </w:tc>
        <w:tc>
          <w:tcPr>
            <w:tcW w:w="17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11.113</w:t>
            </w:r>
          </w:p>
        </w:tc>
        <w:tc>
          <w:tcPr>
            <w:tcW w:w="17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t>1.192.333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45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>Oneri previdenziali e assistenziali</w:t>
            </w:r>
          </w:p>
        </w:tc>
        <w:tc>
          <w:tcPr>
            <w:tcW w:w="17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t>399.695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41.546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t>358.149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45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t xml:space="preserve">Trattamento di fine rapporto </w:t>
            </w:r>
          </w:p>
        </w:tc>
        <w:tc>
          <w:tcPr>
            <w:tcW w:w="17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t>88.668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1.647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t>87.021</w:t>
            </w:r>
          </w:p>
        </w:tc>
      </w:tr>
      <w:tr w:rsidR="006D639A">
        <w:tblPrEx>
          <w:shd w:val="clear" w:color="auto" w:fill="CED7E7"/>
        </w:tblPrEx>
        <w:trPr>
          <w:trHeight w:val="190"/>
        </w:trPr>
        <w:tc>
          <w:tcPr>
            <w:tcW w:w="45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left"/>
            </w:pPr>
            <w:r>
              <w:rPr>
                <w:i/>
                <w:iCs/>
              </w:rPr>
              <w:t>Totale Composizione voci</w:t>
            </w:r>
          </w:p>
        </w:tc>
        <w:tc>
          <w:tcPr>
            <w:tcW w:w="17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rPr>
                <w:i/>
                <w:iCs/>
              </w:rPr>
              <w:t>1.691.809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54.306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9A" w:rsidRDefault="00545523">
            <w:pPr>
              <w:pStyle w:val="Tabella"/>
              <w:jc w:val="center"/>
            </w:pPr>
            <w:r>
              <w:rPr>
                <w:i/>
                <w:iCs/>
              </w:rPr>
              <w:t>1.637.503</w:t>
            </w:r>
          </w:p>
        </w:tc>
      </w:tr>
    </w:tbl>
    <w:p w:rsidR="006D639A" w:rsidRDefault="006D639A">
      <w:pPr>
        <w:widowControl w:val="0"/>
        <w:spacing w:line="240" w:lineRule="auto"/>
      </w:pPr>
    </w:p>
    <w:p w:rsidR="006D639A" w:rsidRDefault="00545523">
      <w:pPr>
        <w:pStyle w:val="Titolo1"/>
      </w:pPr>
      <w:r>
        <w:t>Considerazioni finali</w:t>
      </w:r>
    </w:p>
    <w:p w:rsidR="006D639A" w:rsidRDefault="00545523">
      <w:r>
        <w:rPr>
          <w:rFonts w:eastAsia="Arial Unicode MS" w:cs="Arial Unicode MS"/>
        </w:rPr>
        <w:t xml:space="preserve">Onorevoli Componenti, </w:t>
      </w:r>
    </w:p>
    <w:p w:rsidR="006D639A" w:rsidRDefault="00545523">
      <w:r>
        <w:rPr>
          <w:rFonts w:eastAsia="Arial Unicode MS" w:cs="Arial Unicode MS"/>
        </w:rPr>
        <w:t xml:space="preserve">alla luce di quanto sopra esposto, l'Organo Amministrativo Vi </w:t>
      </w:r>
      <w:r w:rsidR="00D15B17">
        <w:rPr>
          <w:rFonts w:eastAsia="Arial Unicode MS" w:cs="Arial Unicode MS"/>
        </w:rPr>
        <w:t>sottopone</w:t>
      </w:r>
      <w:r>
        <w:rPr>
          <w:rFonts w:eastAsia="Arial Unicode MS" w:cs="Arial Unicode MS"/>
        </w:rPr>
        <w:t xml:space="preserve"> il presente bilancio e le relazioni allegate</w:t>
      </w:r>
      <w:r w:rsidR="00D15B17"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Vi confermiamo che </w:t>
      </w:r>
      <w:r w:rsidR="00D15B17">
        <w:rPr>
          <w:rFonts w:eastAsia="Arial Unicode MS" w:cs="Arial Unicode MS"/>
        </w:rPr>
        <w:t>lo stesso è</w:t>
      </w:r>
      <w:r>
        <w:rPr>
          <w:rFonts w:eastAsia="Arial Unicode MS" w:cs="Arial Unicode MS"/>
        </w:rPr>
        <w:t xml:space="preserve"> composto da Stato Patrimoniale, Conto Economico e Nota Integrativa</w:t>
      </w:r>
      <w:r w:rsidR="00D15B17">
        <w:rPr>
          <w:rFonts w:eastAsia="Arial Unicode MS" w:cs="Arial Unicode MS"/>
        </w:rPr>
        <w:t xml:space="preserve"> e</w:t>
      </w:r>
      <w:r>
        <w:rPr>
          <w:rFonts w:eastAsia="Arial Unicode MS" w:cs="Arial Unicode MS"/>
        </w:rPr>
        <w:t xml:space="preserve"> rappresenta in modo veritiero e corretto la situazione patrimoniale e finanziaria della Fondazione, nonché il risultato economico dell’esercizio al 31 dicembre 2017</w:t>
      </w:r>
      <w:r w:rsidR="00D15B17"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 corrispondente alle scritture contabili pari ad </w:t>
      </w:r>
      <w:r>
        <w:rPr>
          <w:rFonts w:eastAsia="Arial Unicode MS" w:cs="Arial Unicode MS"/>
          <w:b/>
          <w:bCs/>
        </w:rPr>
        <w:t>€ 80.58</w:t>
      </w:r>
      <w:r w:rsidR="00D15B17">
        <w:rPr>
          <w:rFonts w:eastAsia="Arial Unicode MS" w:cs="Arial Unicode MS"/>
          <w:b/>
          <w:bCs/>
        </w:rPr>
        <w:t>7,61</w:t>
      </w:r>
      <w:r>
        <w:rPr>
          <w:rFonts w:eastAsia="Arial Unicode MS" w:cs="Arial Unicode MS"/>
        </w:rPr>
        <w:t xml:space="preserve">. </w:t>
      </w:r>
    </w:p>
    <w:p w:rsidR="00D15B17" w:rsidRDefault="00D15B17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Per quanto sopra Vi invitiamo </w:t>
      </w:r>
      <w:r w:rsidR="00545523">
        <w:rPr>
          <w:rFonts w:eastAsia="Arial Unicode MS" w:cs="Arial Unicode MS"/>
        </w:rPr>
        <w:t>ad approvare il progetto di Bilancio al 31 dicembre 2017</w:t>
      </w:r>
      <w:r>
        <w:rPr>
          <w:rFonts w:eastAsia="Arial Unicode MS" w:cs="Arial Unicode MS"/>
        </w:rPr>
        <w:t>.</w:t>
      </w:r>
    </w:p>
    <w:p w:rsidR="006D639A" w:rsidRPr="00D15B17" w:rsidRDefault="00D15B17">
      <w:pPr>
        <w:rPr>
          <w:rFonts w:eastAsia="Arial Unicode MS" w:cs="Arial Unicode MS"/>
        </w:rPr>
      </w:pPr>
      <w:r>
        <w:rPr>
          <w:rFonts w:eastAsia="Arial Unicode MS" w:cs="Arial Unicode MS"/>
        </w:rPr>
        <w:t>Vi invitiamo inoltre a deliberare</w:t>
      </w:r>
      <w:r w:rsidR="00545523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il riporto </w:t>
      </w:r>
      <w:r w:rsidR="00545523">
        <w:rPr>
          <w:rFonts w:eastAsia="Arial Unicode MS" w:cs="Arial Unicode MS"/>
        </w:rPr>
        <w:t xml:space="preserve">a nuovo </w:t>
      </w:r>
      <w:r>
        <w:rPr>
          <w:rFonts w:eastAsia="Arial Unicode MS" w:cs="Arial Unicode MS"/>
        </w:rPr>
        <w:t>del</w:t>
      </w:r>
      <w:r w:rsidR="00545523">
        <w:rPr>
          <w:rFonts w:eastAsia="Arial Unicode MS" w:cs="Arial Unicode MS"/>
        </w:rPr>
        <w:t xml:space="preserve">l'avanzo economico di esercizio, e di procedere alla copertura dei disavanzi degli esercizi precedenti con gli avanzi economici portati a nuovo. </w:t>
      </w:r>
    </w:p>
    <w:p w:rsidR="006D639A" w:rsidRDefault="00545523"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Il Presidente</w:t>
      </w:r>
    </w:p>
    <w:p w:rsidR="006D639A" w:rsidRDefault="00545523"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   ( On. Giovanni Miccichè )</w:t>
      </w:r>
    </w:p>
    <w:sectPr w:rsidR="006D639A" w:rsidSect="006D639A">
      <w:headerReference w:type="default" r:id="rId6"/>
      <w:footerReference w:type="default" r:id="rId7"/>
      <w:pgSz w:w="11900" w:h="16840"/>
      <w:pgMar w:top="578" w:right="1191" w:bottom="578" w:left="845" w:header="720" w:footer="958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C8" w:rsidRDefault="00A337C8" w:rsidP="006D639A">
      <w:pPr>
        <w:spacing w:before="0" w:after="0" w:line="240" w:lineRule="auto"/>
      </w:pPr>
      <w:r>
        <w:separator/>
      </w:r>
    </w:p>
  </w:endnote>
  <w:endnote w:type="continuationSeparator" w:id="0">
    <w:p w:rsidR="00A337C8" w:rsidRDefault="00A337C8" w:rsidP="006D63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A" w:rsidRDefault="00A24EB6">
    <w:pPr>
      <w:pStyle w:val="Pidipagina"/>
      <w:jc w:val="right"/>
    </w:pPr>
    <w:r>
      <w:rPr>
        <w:b/>
        <w:bCs/>
        <w:sz w:val="18"/>
        <w:szCs w:val="18"/>
      </w:rPr>
      <w:fldChar w:fldCharType="begin"/>
    </w:r>
    <w:r w:rsidR="00545523"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D15B17">
      <w:rPr>
        <w:b/>
        <w:bCs/>
        <w:noProof/>
        <w:sz w:val="18"/>
        <w:szCs w:val="18"/>
      </w:rPr>
      <w:t>7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C8" w:rsidRDefault="00A337C8" w:rsidP="006D639A">
      <w:pPr>
        <w:spacing w:before="0" w:after="0" w:line="240" w:lineRule="auto"/>
      </w:pPr>
      <w:r>
        <w:separator/>
      </w:r>
    </w:p>
  </w:footnote>
  <w:footnote w:type="continuationSeparator" w:id="0">
    <w:p w:rsidR="00A337C8" w:rsidRDefault="00A337C8" w:rsidP="006D63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A" w:rsidRDefault="00545523">
    <w:pPr>
      <w:pStyle w:val="Intestazione"/>
      <w:jc w:val="right"/>
      <w:rPr>
        <w:spacing w:val="-4"/>
        <w:sz w:val="16"/>
        <w:szCs w:val="16"/>
      </w:rPr>
    </w:pPr>
    <w:r>
      <w:t>FONDAZIONE FEDERICO II</w:t>
    </w:r>
    <w:r>
      <w:tab/>
    </w:r>
    <w:r>
      <w:rPr>
        <w:spacing w:val="-4"/>
        <w:sz w:val="16"/>
        <w:szCs w:val="16"/>
      </w:rPr>
      <w:t xml:space="preserve">Bilancio al 31/12/2017  </w:t>
    </w:r>
  </w:p>
  <w:p w:rsidR="006D639A" w:rsidRDefault="006D63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639A"/>
    <w:rsid w:val="00545523"/>
    <w:rsid w:val="006D639A"/>
    <w:rsid w:val="00A24EB6"/>
    <w:rsid w:val="00A337C8"/>
    <w:rsid w:val="00AB7569"/>
    <w:rsid w:val="00D1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D639A"/>
    <w:pPr>
      <w:spacing w:before="80" w:after="40" w:line="220" w:lineRule="atLeast"/>
      <w:jc w:val="both"/>
    </w:pPr>
    <w:rPr>
      <w:rFonts w:eastAsia="Times New Roman"/>
      <w:color w:val="000000"/>
      <w:u w:color="000000"/>
    </w:rPr>
  </w:style>
  <w:style w:type="paragraph" w:styleId="Titolo1">
    <w:name w:val="heading 1"/>
    <w:next w:val="Normale"/>
    <w:rsid w:val="006D639A"/>
    <w:pPr>
      <w:keepNext/>
      <w:keepLines/>
      <w:shd w:val="clear" w:color="auto" w:fill="E5E5E5"/>
      <w:spacing w:before="480" w:after="360" w:line="280" w:lineRule="atLeast"/>
      <w:jc w:val="both"/>
      <w:outlineLvl w:val="0"/>
    </w:pPr>
    <w:rPr>
      <w:rFonts w:ascii="Helvetica" w:hAnsi="Helvetica" w:cs="Arial Unicode MS"/>
      <w:b/>
      <w:bCs/>
      <w:color w:val="000000"/>
      <w:spacing w:val="-10"/>
      <w:kern w:val="28"/>
      <w:sz w:val="32"/>
      <w:szCs w:val="32"/>
      <w:u w:color="000000"/>
    </w:rPr>
  </w:style>
  <w:style w:type="paragraph" w:styleId="Titolo2">
    <w:name w:val="heading 2"/>
    <w:next w:val="Normale"/>
    <w:rsid w:val="006D639A"/>
    <w:pPr>
      <w:keepNext/>
      <w:keepLines/>
      <w:pBdr>
        <w:bottom w:val="single" w:sz="18" w:space="0" w:color="C0C0C0"/>
      </w:pBdr>
      <w:spacing w:before="400" w:after="120" w:line="220" w:lineRule="atLeast"/>
      <w:jc w:val="both"/>
      <w:outlineLvl w:val="1"/>
    </w:pPr>
    <w:rPr>
      <w:rFonts w:ascii="Helvetica" w:hAnsi="Helvetica" w:cs="Arial Unicode MS"/>
      <w:b/>
      <w:bCs/>
      <w:color w:val="000000"/>
      <w:spacing w:val="-4"/>
      <w:kern w:val="28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D639A"/>
    <w:rPr>
      <w:u w:val="single"/>
    </w:rPr>
  </w:style>
  <w:style w:type="table" w:customStyle="1" w:styleId="TableNormal">
    <w:name w:val="Table Normal"/>
    <w:rsid w:val="006D6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6D639A"/>
    <w:pPr>
      <w:keepLines/>
      <w:tabs>
        <w:tab w:val="center" w:pos="4320"/>
        <w:tab w:val="right" w:pos="8640"/>
      </w:tabs>
      <w:spacing w:before="80" w:after="40" w:line="220" w:lineRule="atLeast"/>
      <w:jc w:val="both"/>
    </w:pPr>
    <w:rPr>
      <w:rFonts w:ascii="Arial" w:hAnsi="Arial" w:cs="Arial Unicode MS"/>
      <w:color w:val="000000"/>
      <w:spacing w:val="-3"/>
      <w:u w:color="000000"/>
    </w:rPr>
  </w:style>
  <w:style w:type="paragraph" w:styleId="Pidipagina">
    <w:name w:val="footer"/>
    <w:rsid w:val="006D639A"/>
    <w:pPr>
      <w:keepLines/>
      <w:tabs>
        <w:tab w:val="center" w:pos="4320"/>
        <w:tab w:val="right" w:pos="8640"/>
      </w:tabs>
      <w:spacing w:before="80" w:after="40" w:line="220" w:lineRule="atLeast"/>
      <w:jc w:val="both"/>
    </w:pPr>
    <w:rPr>
      <w:rFonts w:ascii="Arial" w:eastAsia="Arial" w:hAnsi="Arial" w:cs="Arial"/>
      <w:color w:val="000000"/>
      <w:spacing w:val="-3"/>
      <w:u w:color="000000"/>
    </w:rPr>
  </w:style>
  <w:style w:type="character" w:styleId="Numeropagina">
    <w:name w:val="page number"/>
    <w:rsid w:val="006D639A"/>
    <w:rPr>
      <w:rFonts w:ascii="Arial" w:eastAsia="Arial" w:hAnsi="Arial" w:cs="Arial"/>
      <w:b/>
      <w:bCs/>
      <w:sz w:val="18"/>
      <w:szCs w:val="18"/>
    </w:rPr>
  </w:style>
  <w:style w:type="paragraph" w:customStyle="1" w:styleId="Nomesociet">
    <w:name w:val="Nome società"/>
    <w:rsid w:val="006D639A"/>
    <w:pPr>
      <w:keepNext/>
      <w:keepLines/>
      <w:spacing w:after="40" w:line="220" w:lineRule="atLeast"/>
      <w:jc w:val="both"/>
    </w:pPr>
    <w:rPr>
      <w:rFonts w:ascii="Times" w:hAnsi="Times" w:cs="Arial Unicode MS"/>
      <w:color w:val="000000"/>
      <w:spacing w:val="-30"/>
      <w:kern w:val="28"/>
      <w:sz w:val="48"/>
      <w:szCs w:val="48"/>
      <w:u w:color="000000"/>
    </w:rPr>
  </w:style>
  <w:style w:type="paragraph" w:customStyle="1" w:styleId="Corpodeltestocontinuo">
    <w:name w:val="Corpo del testo continuo"/>
    <w:rsid w:val="006D639A"/>
    <w:pPr>
      <w:keepNext/>
      <w:spacing w:before="80" w:after="40" w:line="220" w:lineRule="atLeast"/>
      <w:jc w:val="both"/>
    </w:pPr>
    <w:rPr>
      <w:rFonts w:eastAsia="Times New Roman"/>
      <w:color w:val="000000"/>
      <w:u w:color="000000"/>
    </w:rPr>
  </w:style>
  <w:style w:type="paragraph" w:styleId="Titolo">
    <w:name w:val="Title"/>
    <w:rsid w:val="006D639A"/>
    <w:pPr>
      <w:keepNext/>
      <w:keepLines/>
      <w:spacing w:before="660" w:after="400" w:line="540" w:lineRule="atLeast"/>
      <w:ind w:right="2160"/>
      <w:jc w:val="both"/>
    </w:pPr>
    <w:rPr>
      <w:rFonts w:cs="Arial Unicode MS"/>
      <w:color w:val="000000"/>
      <w:spacing w:val="-40"/>
      <w:kern w:val="28"/>
      <w:sz w:val="60"/>
      <w:szCs w:val="60"/>
      <w:u w:color="000000"/>
    </w:rPr>
  </w:style>
  <w:style w:type="paragraph" w:customStyle="1" w:styleId="Normale1">
    <w:name w:val="Normale1"/>
    <w:rsid w:val="006D639A"/>
    <w:pPr>
      <w:spacing w:before="80" w:after="40" w:line="220" w:lineRule="atLeast"/>
      <w:jc w:val="both"/>
    </w:pPr>
    <w:rPr>
      <w:rFonts w:cs="Arial Unicode MS"/>
      <w:color w:val="000000"/>
      <w:u w:color="000000"/>
    </w:rPr>
  </w:style>
  <w:style w:type="paragraph" w:customStyle="1" w:styleId="Tabella">
    <w:name w:val="Tabella"/>
    <w:rsid w:val="006D639A"/>
    <w:pPr>
      <w:spacing w:before="40" w:after="40"/>
      <w:jc w:val="both"/>
    </w:pPr>
    <w:rPr>
      <w:rFonts w:ascii="Arial" w:hAnsi="Arial" w:cs="Arial Unicode MS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2240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</cp:lastModifiedBy>
  <cp:revision>3</cp:revision>
  <cp:lastPrinted>2018-06-20T09:16:00Z</cp:lastPrinted>
  <dcterms:created xsi:type="dcterms:W3CDTF">2018-06-20T09:14:00Z</dcterms:created>
  <dcterms:modified xsi:type="dcterms:W3CDTF">2018-06-20T11:57:00Z</dcterms:modified>
</cp:coreProperties>
</file>